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EE" w:rsidRDefault="00635D6A" w:rsidP="001B25EE">
      <w:r>
        <w:rPr>
          <w:noProof/>
          <w:lang w:eastAsia="en-AU"/>
        </w:rPr>
        <w:drawing>
          <wp:inline distT="0" distB="0" distL="0" distR="0">
            <wp:extent cx="5849620" cy="1401206"/>
            <wp:effectExtent l="19050" t="0" r="0" b="0"/>
            <wp:docPr id="1" name="Picture 1" descr="C:\Users\A01705\AppData\Local\Microsoft\Windows\Temporary Internet Files\Content.Outlook\HAZGZKRK\ParksAustralia-inline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1705\AppData\Local\Microsoft\Windows\Temporary Internet Files\Content.Outlook\HAZGZKRK\ParksAustralia-inline BLACK.jpg"/>
                    <pic:cNvPicPr>
                      <a:picLocks noChangeAspect="1" noChangeArrowheads="1"/>
                    </pic:cNvPicPr>
                  </pic:nvPicPr>
                  <pic:blipFill>
                    <a:blip r:embed="rId7" cstate="print"/>
                    <a:srcRect/>
                    <a:stretch>
                      <a:fillRect/>
                    </a:stretch>
                  </pic:blipFill>
                  <pic:spPr bwMode="auto">
                    <a:xfrm>
                      <a:off x="0" y="0"/>
                      <a:ext cx="5849620" cy="1401206"/>
                    </a:xfrm>
                    <a:prstGeom prst="rect">
                      <a:avLst/>
                    </a:prstGeom>
                    <a:noFill/>
                    <a:ln w="9525">
                      <a:noFill/>
                      <a:miter lim="800000"/>
                      <a:headEnd/>
                      <a:tailEnd/>
                    </a:ln>
                  </pic:spPr>
                </pic:pic>
              </a:graphicData>
            </a:graphic>
          </wp:inline>
        </w:drawing>
      </w:r>
    </w:p>
    <w:p w:rsidR="001B25EE" w:rsidRDefault="001B25EE" w:rsidP="001B25EE"/>
    <w:p w:rsidR="001B25EE" w:rsidRDefault="001B25EE" w:rsidP="001B25EE">
      <w:bookmarkStart w:id="0" w:name="_Toc410902776"/>
      <w:bookmarkStart w:id="1" w:name="_Toc411846747"/>
    </w:p>
    <w:p w:rsidR="001B25EE" w:rsidRDefault="001B25EE" w:rsidP="001B25EE"/>
    <w:p w:rsidR="001B25EE" w:rsidRDefault="001B25EE" w:rsidP="001B25EE"/>
    <w:p w:rsidR="001B25EE" w:rsidRDefault="001B25EE" w:rsidP="001B25EE">
      <w:pPr>
        <w:rPr>
          <w:color w:val="4F81BD" w:themeColor="accent1"/>
          <w:sz w:val="40"/>
          <w:szCs w:val="40"/>
        </w:rPr>
      </w:pPr>
      <w:bookmarkStart w:id="2" w:name="_Toc412624120"/>
    </w:p>
    <w:p w:rsidR="001B25EE" w:rsidRPr="00586024" w:rsidRDefault="001B25EE" w:rsidP="001B25EE">
      <w:pPr>
        <w:rPr>
          <w:color w:val="4F81BD" w:themeColor="accent1"/>
          <w:sz w:val="40"/>
          <w:szCs w:val="40"/>
        </w:rPr>
      </w:pPr>
      <w:r>
        <w:rPr>
          <w:color w:val="4F81BD" w:themeColor="accent1"/>
          <w:sz w:val="40"/>
          <w:szCs w:val="40"/>
        </w:rPr>
        <w:t xml:space="preserve">Offshore Petroleum </w:t>
      </w:r>
      <w:r w:rsidRPr="00586024">
        <w:rPr>
          <w:color w:val="4F81BD" w:themeColor="accent1"/>
          <w:sz w:val="40"/>
          <w:szCs w:val="40"/>
        </w:rPr>
        <w:t>Guideline</w:t>
      </w:r>
      <w:bookmarkStart w:id="3" w:name="_Toc407003826"/>
      <w:bookmarkEnd w:id="0"/>
      <w:bookmarkEnd w:id="1"/>
      <w:bookmarkEnd w:id="2"/>
      <w:r>
        <w:rPr>
          <w:color w:val="4F81BD" w:themeColor="accent1"/>
          <w:sz w:val="40"/>
          <w:szCs w:val="40"/>
        </w:rPr>
        <w:t>: Prior Usage Rights</w:t>
      </w:r>
    </w:p>
    <w:p w:rsidR="001B25EE" w:rsidRDefault="001B25EE" w:rsidP="001B25EE">
      <w:pPr>
        <w:rPr>
          <w:color w:val="4F81BD" w:themeColor="accent1"/>
          <w:sz w:val="28"/>
          <w:szCs w:val="32"/>
        </w:rPr>
      </w:pPr>
      <w:bookmarkStart w:id="4" w:name="_Toc410902777"/>
      <w:bookmarkStart w:id="5" w:name="_Toc411846748"/>
      <w:bookmarkStart w:id="6" w:name="_Toc412624121"/>
    </w:p>
    <w:p w:rsidR="001B25EE" w:rsidRPr="00E02626" w:rsidRDefault="001B25EE" w:rsidP="001B25EE">
      <w:pPr>
        <w:rPr>
          <w:color w:val="4F81BD" w:themeColor="accent1"/>
          <w:sz w:val="28"/>
          <w:szCs w:val="32"/>
        </w:rPr>
      </w:pPr>
      <w:r w:rsidRPr="00E02626">
        <w:rPr>
          <w:color w:val="4F81BD" w:themeColor="accent1"/>
          <w:sz w:val="28"/>
          <w:szCs w:val="32"/>
        </w:rPr>
        <w:t xml:space="preserve">In relation to the </w:t>
      </w:r>
      <w:r w:rsidRPr="00DF0F5B">
        <w:rPr>
          <w:i/>
          <w:color w:val="4F81BD" w:themeColor="accent1"/>
          <w:sz w:val="28"/>
          <w:szCs w:val="32"/>
        </w:rPr>
        <w:t>Environment Protection and Biodiversity Conservation Act 1999</w:t>
      </w:r>
      <w:r>
        <w:rPr>
          <w:i/>
          <w:color w:val="4F81BD" w:themeColor="accent1"/>
          <w:sz w:val="28"/>
          <w:szCs w:val="32"/>
        </w:rPr>
        <w:t xml:space="preserve"> </w:t>
      </w:r>
      <w:r>
        <w:rPr>
          <w:color w:val="4F81BD" w:themeColor="accent1"/>
          <w:sz w:val="28"/>
          <w:szCs w:val="32"/>
        </w:rPr>
        <w:t xml:space="preserve">and </w:t>
      </w:r>
      <w:r w:rsidRPr="00E02626">
        <w:rPr>
          <w:i/>
          <w:color w:val="4F81BD" w:themeColor="accent1"/>
          <w:sz w:val="28"/>
          <w:szCs w:val="32"/>
        </w:rPr>
        <w:t>Offshore Petroleum and Greenhouse Gas Storage Act 2006</w:t>
      </w:r>
      <w:bookmarkEnd w:id="3"/>
      <w:bookmarkEnd w:id="4"/>
      <w:bookmarkEnd w:id="5"/>
      <w:bookmarkEnd w:id="6"/>
    </w:p>
    <w:p w:rsidR="001B25EE" w:rsidRDefault="001B25EE" w:rsidP="001B25EE">
      <w:pPr>
        <w:rPr>
          <w:rFonts w:cs="Arial"/>
        </w:rPr>
      </w:pPr>
    </w:p>
    <w:p w:rsidR="001B25EE" w:rsidRDefault="001B25EE" w:rsidP="001B25EE">
      <w:pPr>
        <w:rPr>
          <w:rFonts w:cs="Arial"/>
        </w:rPr>
      </w:pPr>
    </w:p>
    <w:p w:rsidR="001B25EE" w:rsidRDefault="001B25EE" w:rsidP="001B25EE">
      <w:pPr>
        <w:rPr>
          <w:rFonts w:cs="Arial"/>
        </w:rPr>
      </w:pPr>
    </w:p>
    <w:p w:rsidR="001B25EE" w:rsidRPr="00A51657" w:rsidRDefault="001B25EE" w:rsidP="00A51657">
      <w:pPr>
        <w:autoSpaceDE w:val="0"/>
        <w:autoSpaceDN w:val="0"/>
        <w:rPr>
          <w:color w:val="000000"/>
          <w:sz w:val="18"/>
        </w:rPr>
      </w:pPr>
    </w:p>
    <w:p w:rsidR="001B25EE" w:rsidRDefault="001B25EE" w:rsidP="001B25EE">
      <w:pPr>
        <w:autoSpaceDE w:val="0"/>
        <w:autoSpaceDN w:val="0"/>
        <w:rPr>
          <w:rFonts w:cs="Arial"/>
          <w:color w:val="000000"/>
          <w:sz w:val="18"/>
          <w:szCs w:val="20"/>
        </w:rPr>
      </w:pPr>
    </w:p>
    <w:p w:rsidR="001B25EE" w:rsidRDefault="001B25EE" w:rsidP="001B25EE">
      <w:pPr>
        <w:autoSpaceDE w:val="0"/>
        <w:autoSpaceDN w:val="0"/>
        <w:rPr>
          <w:rFonts w:cs="Arial"/>
          <w:color w:val="000000"/>
          <w:sz w:val="18"/>
          <w:szCs w:val="20"/>
        </w:rPr>
      </w:pPr>
    </w:p>
    <w:p w:rsidR="001B25EE" w:rsidRDefault="001B25EE" w:rsidP="001B25EE">
      <w:pPr>
        <w:autoSpaceDE w:val="0"/>
        <w:autoSpaceDN w:val="0"/>
        <w:rPr>
          <w:rFonts w:cs="Arial"/>
          <w:color w:val="000000"/>
          <w:sz w:val="18"/>
          <w:szCs w:val="20"/>
        </w:rPr>
      </w:pPr>
    </w:p>
    <w:p w:rsidR="001B25EE" w:rsidRPr="003E46BF" w:rsidRDefault="001B25EE" w:rsidP="001B25EE">
      <w:pPr>
        <w:autoSpaceDE w:val="0"/>
        <w:autoSpaceDN w:val="0"/>
        <w:rPr>
          <w:rFonts w:cs="Arial"/>
          <w:color w:val="000000"/>
          <w:sz w:val="18"/>
          <w:szCs w:val="20"/>
        </w:rPr>
      </w:pPr>
      <w:r w:rsidRPr="003E46BF">
        <w:rPr>
          <w:rFonts w:cs="Arial"/>
          <w:color w:val="000000"/>
          <w:sz w:val="18"/>
          <w:szCs w:val="20"/>
        </w:rPr>
        <w:t xml:space="preserve">This document has been developed as a general guide only. It </w:t>
      </w:r>
      <w:r>
        <w:rPr>
          <w:rFonts w:cs="Arial"/>
          <w:color w:val="000000"/>
          <w:sz w:val="18"/>
          <w:szCs w:val="20"/>
        </w:rPr>
        <w:t xml:space="preserve">is subject to, and </w:t>
      </w:r>
      <w:r w:rsidRPr="003E46BF">
        <w:rPr>
          <w:rFonts w:cs="Arial"/>
          <w:color w:val="000000"/>
          <w:sz w:val="18"/>
          <w:szCs w:val="20"/>
        </w:rPr>
        <w:t>does not replace or amend the requirements of the</w:t>
      </w:r>
      <w:r>
        <w:rPr>
          <w:rFonts w:cs="Arial"/>
          <w:color w:val="000000"/>
          <w:sz w:val="18"/>
          <w:szCs w:val="20"/>
        </w:rPr>
        <w:t xml:space="preserve"> </w:t>
      </w:r>
      <w:hyperlink r:id="rId8" w:history="1">
        <w:r w:rsidR="00AB1307" w:rsidRPr="001553D1">
          <w:rPr>
            <w:rStyle w:val="Hyperlink"/>
            <w:rFonts w:cs="Arial"/>
            <w:i/>
            <w:sz w:val="18"/>
            <w:szCs w:val="20"/>
          </w:rPr>
          <w:t>Environment Protection and Biodiversity Conservation Act 1999</w:t>
        </w:r>
      </w:hyperlink>
      <w:r>
        <w:rPr>
          <w:rFonts w:cs="Arial"/>
          <w:color w:val="000000"/>
          <w:sz w:val="18"/>
          <w:szCs w:val="20"/>
        </w:rPr>
        <w:t xml:space="preserve"> and</w:t>
      </w:r>
      <w:r w:rsidR="003E788A">
        <w:rPr>
          <w:rFonts w:cs="Arial"/>
          <w:color w:val="000000"/>
          <w:sz w:val="18"/>
          <w:szCs w:val="20"/>
        </w:rPr>
        <w:t xml:space="preserve"> the</w:t>
      </w:r>
      <w:r>
        <w:t xml:space="preserve"> </w:t>
      </w:r>
      <w:hyperlink r:id="rId9" w:history="1">
        <w:r w:rsidR="00AB1307" w:rsidRPr="001553D1">
          <w:rPr>
            <w:rStyle w:val="Hyperlink"/>
            <w:rFonts w:eastAsiaTheme="majorEastAsia" w:cs="Arial"/>
            <w:i/>
            <w:sz w:val="18"/>
          </w:rPr>
          <w:t>Offshore Petroleum and Greenhouse Gas Storage Act 2006</w:t>
        </w:r>
      </w:hyperlink>
      <w:r w:rsidRPr="003E46BF">
        <w:rPr>
          <w:rFonts w:cs="Arial"/>
          <w:color w:val="000000"/>
          <w:sz w:val="18"/>
          <w:szCs w:val="20"/>
        </w:rPr>
        <w:t xml:space="preserve"> and associated Regulations, which should be read in conjunction with th</w:t>
      </w:r>
      <w:r>
        <w:rPr>
          <w:rFonts w:cs="Arial"/>
          <w:color w:val="000000"/>
          <w:sz w:val="18"/>
          <w:szCs w:val="20"/>
        </w:rPr>
        <w:t>is</w:t>
      </w:r>
      <w:r w:rsidRPr="003E46BF">
        <w:rPr>
          <w:rFonts w:cs="Arial"/>
          <w:color w:val="000000"/>
          <w:sz w:val="18"/>
          <w:szCs w:val="20"/>
        </w:rPr>
        <w:t xml:space="preserve"> guide</w:t>
      </w:r>
      <w:r>
        <w:rPr>
          <w:rFonts w:cs="Arial"/>
          <w:color w:val="000000"/>
          <w:sz w:val="18"/>
          <w:szCs w:val="20"/>
        </w:rPr>
        <w:t>line</w:t>
      </w:r>
      <w:r w:rsidRPr="003E46BF">
        <w:rPr>
          <w:rFonts w:cs="Arial"/>
          <w:color w:val="000000"/>
          <w:sz w:val="18"/>
          <w:szCs w:val="20"/>
        </w:rPr>
        <w:t>.</w:t>
      </w:r>
    </w:p>
    <w:p w:rsidR="001B25EE" w:rsidRPr="003E46BF" w:rsidRDefault="001B25EE" w:rsidP="001B25EE">
      <w:pPr>
        <w:rPr>
          <w:rFonts w:cs="Arial"/>
          <w:sz w:val="18"/>
          <w:szCs w:val="20"/>
        </w:rPr>
      </w:pPr>
      <w:r>
        <w:rPr>
          <w:rFonts w:cs="Arial"/>
          <w:color w:val="000000"/>
          <w:sz w:val="18"/>
          <w:szCs w:val="20"/>
        </w:rPr>
        <w:t xml:space="preserve">This guideline </w:t>
      </w:r>
      <w:r w:rsidRPr="003E46BF">
        <w:rPr>
          <w:rFonts w:cs="Arial"/>
          <w:color w:val="000000"/>
          <w:sz w:val="18"/>
          <w:szCs w:val="20"/>
        </w:rPr>
        <w:t xml:space="preserve">is made available </w:t>
      </w:r>
      <w:r>
        <w:rPr>
          <w:rFonts w:cs="Arial"/>
          <w:color w:val="000000"/>
          <w:sz w:val="18"/>
          <w:szCs w:val="20"/>
        </w:rPr>
        <w:t xml:space="preserve">by the Australian Government for information only. </w:t>
      </w:r>
      <w:r w:rsidRPr="003E46BF">
        <w:rPr>
          <w:rFonts w:cs="Arial"/>
          <w:color w:val="000000"/>
          <w:sz w:val="18"/>
          <w:szCs w:val="20"/>
        </w:rPr>
        <w:t>Before relying on this m</w:t>
      </w:r>
      <w:r>
        <w:rPr>
          <w:rFonts w:cs="Arial"/>
          <w:color w:val="000000"/>
          <w:sz w:val="18"/>
          <w:szCs w:val="20"/>
        </w:rPr>
        <w:t xml:space="preserve">aterial, </w:t>
      </w:r>
      <w:r w:rsidRPr="003E46BF">
        <w:rPr>
          <w:rFonts w:cs="Arial"/>
          <w:color w:val="000000"/>
          <w:sz w:val="18"/>
          <w:szCs w:val="20"/>
        </w:rPr>
        <w:t xml:space="preserve">users should carefully evaluate </w:t>
      </w:r>
      <w:r>
        <w:rPr>
          <w:rFonts w:cs="Arial"/>
          <w:color w:val="000000"/>
          <w:sz w:val="18"/>
          <w:szCs w:val="20"/>
        </w:rPr>
        <w:t>the</w:t>
      </w:r>
      <w:r w:rsidRPr="003E46BF">
        <w:rPr>
          <w:rFonts w:cs="Arial"/>
          <w:color w:val="000000"/>
          <w:sz w:val="18"/>
          <w:szCs w:val="20"/>
        </w:rPr>
        <w:t xml:space="preserve"> accuracy, currency, completeness and relevance </w:t>
      </w:r>
      <w:r>
        <w:rPr>
          <w:rFonts w:cs="Arial"/>
          <w:color w:val="000000"/>
          <w:sz w:val="18"/>
          <w:szCs w:val="20"/>
        </w:rPr>
        <w:t xml:space="preserve">of the information </w:t>
      </w:r>
      <w:r w:rsidRPr="003E46BF">
        <w:rPr>
          <w:rFonts w:cs="Arial"/>
          <w:color w:val="000000"/>
          <w:sz w:val="18"/>
          <w:szCs w:val="20"/>
        </w:rPr>
        <w:t xml:space="preserve">and obtain </w:t>
      </w:r>
      <w:r>
        <w:rPr>
          <w:rFonts w:cs="Arial"/>
          <w:color w:val="000000"/>
          <w:sz w:val="18"/>
          <w:szCs w:val="20"/>
        </w:rPr>
        <w:t xml:space="preserve">independent, </w:t>
      </w:r>
      <w:r w:rsidRPr="003E46BF">
        <w:rPr>
          <w:rFonts w:cs="Arial"/>
          <w:sz w:val="18"/>
          <w:szCs w:val="20"/>
        </w:rPr>
        <w:t xml:space="preserve">legal or other </w:t>
      </w:r>
      <w:r w:rsidRPr="003E46BF">
        <w:rPr>
          <w:rFonts w:cs="Arial"/>
          <w:color w:val="000000"/>
          <w:sz w:val="18"/>
          <w:szCs w:val="20"/>
        </w:rPr>
        <w:t>professional advice relevant to t</w:t>
      </w:r>
      <w:r>
        <w:rPr>
          <w:rFonts w:cs="Arial"/>
          <w:color w:val="000000"/>
          <w:sz w:val="18"/>
          <w:szCs w:val="20"/>
        </w:rPr>
        <w:t>heir particular circumstances.</w:t>
      </w:r>
    </w:p>
    <w:p w:rsidR="001B25EE" w:rsidRPr="003E46BF" w:rsidRDefault="001B25EE" w:rsidP="001B25EE">
      <w:pPr>
        <w:rPr>
          <w:rFonts w:cs="Arial"/>
          <w:sz w:val="18"/>
        </w:rPr>
      </w:pPr>
      <w:r w:rsidRPr="003E46BF">
        <w:rPr>
          <w:rFonts w:cs="Arial"/>
          <w:sz w:val="18"/>
        </w:rPr>
        <w:t xml:space="preserve">This document has been prepared by the </w:t>
      </w:r>
      <w:r w:rsidR="00E238BB">
        <w:rPr>
          <w:rFonts w:cs="Arial"/>
          <w:sz w:val="18"/>
        </w:rPr>
        <w:t xml:space="preserve">Director of National Parks and the </w:t>
      </w:r>
      <w:r w:rsidRPr="000E0ABD">
        <w:rPr>
          <w:rFonts w:eastAsiaTheme="majorEastAsia" w:cs="Arial"/>
          <w:sz w:val="18"/>
        </w:rPr>
        <w:t>Australian Government Department of Industry</w:t>
      </w:r>
      <w:r w:rsidR="003E788A">
        <w:rPr>
          <w:rFonts w:eastAsiaTheme="majorEastAsia" w:cs="Arial"/>
          <w:sz w:val="18"/>
        </w:rPr>
        <w:t>, Innovation</w:t>
      </w:r>
      <w:r w:rsidRPr="000E0ABD">
        <w:rPr>
          <w:rFonts w:eastAsiaTheme="majorEastAsia" w:cs="Arial"/>
          <w:sz w:val="18"/>
        </w:rPr>
        <w:t xml:space="preserve"> and Science</w:t>
      </w:r>
      <w:r>
        <w:rPr>
          <w:rFonts w:cs="Arial"/>
          <w:sz w:val="18"/>
        </w:rPr>
        <w:t xml:space="preserve">. </w:t>
      </w:r>
      <w:r w:rsidRPr="003E46BF">
        <w:rPr>
          <w:rFonts w:cs="Arial"/>
          <w:sz w:val="18"/>
        </w:rPr>
        <w:t>It will be reviewed and updated as required</w:t>
      </w:r>
      <w:r>
        <w:rPr>
          <w:rFonts w:cs="Arial"/>
          <w:sz w:val="18"/>
        </w:rPr>
        <w:t>.</w:t>
      </w:r>
    </w:p>
    <w:p w:rsidR="004F778F" w:rsidRPr="004F778F" w:rsidRDefault="001B25EE" w:rsidP="004F778F">
      <w:pPr>
        <w:pStyle w:val="CommentText"/>
        <w:rPr>
          <w:rFonts w:ascii="Arial" w:hAnsi="Arial" w:cs="Arial"/>
          <w:sz w:val="18"/>
          <w:szCs w:val="18"/>
        </w:rPr>
      </w:pPr>
      <w:r w:rsidRPr="003E46BF">
        <w:rPr>
          <w:rFonts w:ascii="Arial" w:hAnsi="Arial" w:cs="Arial"/>
          <w:sz w:val="18"/>
        </w:rPr>
        <w:t xml:space="preserve">This document is available </w:t>
      </w:r>
      <w:r w:rsidRPr="00621769">
        <w:rPr>
          <w:rFonts w:ascii="Arial" w:hAnsi="Arial" w:cs="Arial"/>
          <w:sz w:val="18"/>
          <w:szCs w:val="18"/>
        </w:rPr>
        <w:t xml:space="preserve">online at </w:t>
      </w:r>
      <w:hyperlink r:id="rId10" w:history="1">
        <w:r w:rsidR="00621769" w:rsidRPr="00621769">
          <w:rPr>
            <w:rStyle w:val="Hyperlink"/>
            <w:rFonts w:ascii="Arial" w:hAnsi="Arial" w:cs="Arial"/>
            <w:sz w:val="18"/>
            <w:szCs w:val="18"/>
          </w:rPr>
          <w:t>www.nopta.gov.au/forms/forms.html</w:t>
        </w:r>
      </w:hyperlink>
      <w:r w:rsidR="00621769" w:rsidRPr="00621769">
        <w:rPr>
          <w:rFonts w:ascii="Arial" w:hAnsi="Arial" w:cs="Arial"/>
          <w:sz w:val="18"/>
          <w:szCs w:val="18"/>
        </w:rPr>
        <w:t xml:space="preserve"> </w:t>
      </w:r>
      <w:r w:rsidRPr="00621769">
        <w:rPr>
          <w:rFonts w:ascii="Arial" w:hAnsi="Arial" w:cs="Arial"/>
          <w:sz w:val="18"/>
          <w:szCs w:val="18"/>
        </w:rPr>
        <w:t>and</w:t>
      </w:r>
      <w:r w:rsidRPr="006F4EC0">
        <w:rPr>
          <w:rFonts w:ascii="Arial" w:hAnsi="Arial" w:cs="Arial"/>
          <w:sz w:val="18"/>
        </w:rPr>
        <w:t xml:space="preserve"> </w:t>
      </w:r>
      <w:hyperlink r:id="rId11" w:history="1">
        <w:r w:rsidR="004F778F" w:rsidRPr="00B35EF7">
          <w:rPr>
            <w:rStyle w:val="Hyperlink"/>
            <w:rFonts w:ascii="Arial" w:hAnsi="Arial" w:cs="Arial"/>
            <w:sz w:val="18"/>
            <w:szCs w:val="18"/>
          </w:rPr>
          <w:t>www.environment.gov.au/resource/renewal-or-extension-prior-usage-rights-mining-and-oil-and-gas-activities</w:t>
        </w:r>
      </w:hyperlink>
    </w:p>
    <w:p w:rsidR="00A51657" w:rsidRDefault="00A51657" w:rsidP="001B25EE">
      <w:pPr>
        <w:pStyle w:val="CommentText"/>
        <w:rPr>
          <w:rFonts w:ascii="Arial" w:hAnsi="Arial"/>
          <w:sz w:val="18"/>
        </w:rPr>
      </w:pPr>
    </w:p>
    <w:p w:rsidR="00E80D3C" w:rsidRDefault="00E80D3C" w:rsidP="001B25EE">
      <w:pPr>
        <w:pStyle w:val="CommentText"/>
        <w:rPr>
          <w:rFonts w:ascii="Arial" w:hAnsi="Arial"/>
          <w:sz w:val="18"/>
        </w:rPr>
      </w:pPr>
    </w:p>
    <w:p w:rsidR="00A51657" w:rsidRDefault="00A51657">
      <w:pPr>
        <w:spacing w:after="0" w:line="240" w:lineRule="auto"/>
        <w:rPr>
          <w:rFonts w:eastAsiaTheme="minorEastAsia" w:cstheme="minorBidi"/>
          <w:sz w:val="18"/>
          <w:szCs w:val="20"/>
        </w:rPr>
      </w:pPr>
      <w:r>
        <w:rPr>
          <w:sz w:val="18"/>
        </w:rPr>
        <w:lastRenderedPageBreak/>
        <w:br w:type="page"/>
      </w:r>
    </w:p>
    <w:p w:rsidR="00876B02" w:rsidRPr="00DF42DC" w:rsidRDefault="00876B02" w:rsidP="001B25EE">
      <w:pPr>
        <w:pStyle w:val="CommentText"/>
        <w:rPr>
          <w:rFonts w:ascii="Arial" w:hAnsi="Arial" w:cs="Arial"/>
          <w:sz w:val="18"/>
        </w:rPr>
      </w:pPr>
    </w:p>
    <w:sdt>
      <w:sdtPr>
        <w:rPr>
          <w:rFonts w:asciiTheme="minorHAnsi" w:eastAsiaTheme="minorEastAsia" w:hAnsiTheme="minorHAnsi" w:cstheme="minorBidi"/>
          <w:b w:val="0"/>
          <w:bCs w:val="0"/>
          <w:color w:val="0000FF"/>
          <w:sz w:val="22"/>
          <w:szCs w:val="22"/>
          <w:u w:val="single"/>
          <w:lang w:bidi="ar-SA"/>
        </w:rPr>
        <w:id w:val="855927743"/>
        <w:docPartObj>
          <w:docPartGallery w:val="Table of Contents"/>
          <w:docPartUnique/>
        </w:docPartObj>
      </w:sdtPr>
      <w:sdtEndPr>
        <w:rPr>
          <w:rFonts w:ascii="Arial" w:eastAsia="Calibri" w:hAnsi="Arial" w:cs="Times New Roman"/>
          <w:noProof/>
        </w:rPr>
      </w:sdtEndPr>
      <w:sdtContent>
        <w:p w:rsidR="001B25EE" w:rsidRPr="00E80D3C" w:rsidRDefault="001B25EE" w:rsidP="001B25EE">
          <w:pPr>
            <w:pStyle w:val="TOCHeading"/>
            <w:rPr>
              <w:rFonts w:ascii="Arial" w:hAnsi="Arial" w:cs="Arial"/>
            </w:rPr>
          </w:pPr>
          <w:r w:rsidRPr="00E80D3C">
            <w:rPr>
              <w:rFonts w:ascii="Arial" w:hAnsi="Arial" w:cs="Arial"/>
            </w:rPr>
            <w:t>Table of Contents</w:t>
          </w:r>
        </w:p>
        <w:p w:rsidR="00A51657" w:rsidRPr="00E80D3C" w:rsidRDefault="00A2437E">
          <w:pPr>
            <w:pStyle w:val="TOC1"/>
            <w:tabs>
              <w:tab w:val="left" w:pos="440"/>
              <w:tab w:val="right" w:leader="dot" w:pos="9202"/>
            </w:tabs>
            <w:rPr>
              <w:rFonts w:ascii="Arial" w:hAnsi="Arial" w:cs="Arial"/>
              <w:noProof/>
              <w:lang w:eastAsia="en-AU"/>
            </w:rPr>
          </w:pPr>
          <w:r w:rsidRPr="00A2437E">
            <w:rPr>
              <w:rFonts w:ascii="Arial" w:hAnsi="Arial" w:cs="Arial"/>
            </w:rPr>
            <w:fldChar w:fldCharType="begin"/>
          </w:r>
          <w:r w:rsidR="001B25EE" w:rsidRPr="00E80D3C">
            <w:rPr>
              <w:rFonts w:ascii="Arial" w:hAnsi="Arial" w:cs="Arial"/>
            </w:rPr>
            <w:instrText xml:space="preserve"> TOC \o "1-3" \h \z \u </w:instrText>
          </w:r>
          <w:r w:rsidRPr="00A2437E">
            <w:rPr>
              <w:rFonts w:ascii="Arial" w:hAnsi="Arial" w:cs="Arial"/>
            </w:rPr>
            <w:fldChar w:fldCharType="separate"/>
          </w:r>
          <w:hyperlink w:anchor="_Toc448316989" w:history="1">
            <w:r w:rsidR="00A51657" w:rsidRPr="00E80D3C">
              <w:rPr>
                <w:rStyle w:val="Hyperlink"/>
                <w:rFonts w:ascii="Arial" w:hAnsi="Arial" w:cs="Arial"/>
                <w:noProof/>
              </w:rPr>
              <w:t>1.</w:t>
            </w:r>
            <w:r w:rsidR="00A51657" w:rsidRPr="00E80D3C">
              <w:rPr>
                <w:rFonts w:ascii="Arial" w:hAnsi="Arial" w:cs="Arial"/>
                <w:noProof/>
                <w:lang w:eastAsia="en-AU"/>
              </w:rPr>
              <w:tab/>
            </w:r>
            <w:r w:rsidR="00A51657" w:rsidRPr="00E80D3C">
              <w:rPr>
                <w:rStyle w:val="Hyperlink"/>
                <w:rFonts w:ascii="Arial" w:hAnsi="Arial" w:cs="Arial"/>
                <w:noProof/>
              </w:rPr>
              <w:t>What is a ‘Prior Usage Right’</w:t>
            </w:r>
            <w:r w:rsidR="00A51657" w:rsidRPr="00E80D3C">
              <w:rPr>
                <w:rFonts w:ascii="Arial" w:hAnsi="Arial" w:cs="Arial"/>
                <w:noProof/>
                <w:webHidden/>
              </w:rPr>
              <w:tab/>
            </w:r>
            <w:r w:rsidRPr="00E80D3C">
              <w:rPr>
                <w:rFonts w:ascii="Arial" w:hAnsi="Arial" w:cs="Arial"/>
                <w:noProof/>
                <w:webHidden/>
              </w:rPr>
              <w:fldChar w:fldCharType="begin"/>
            </w:r>
            <w:r w:rsidR="00A51657" w:rsidRPr="00E80D3C">
              <w:rPr>
                <w:rFonts w:ascii="Arial" w:hAnsi="Arial" w:cs="Arial"/>
                <w:noProof/>
                <w:webHidden/>
              </w:rPr>
              <w:instrText xml:space="preserve"> PAGEREF _Toc448316989 \h </w:instrText>
            </w:r>
            <w:r w:rsidRPr="00E80D3C">
              <w:rPr>
                <w:rFonts w:ascii="Arial" w:hAnsi="Arial" w:cs="Arial"/>
                <w:noProof/>
                <w:webHidden/>
              </w:rPr>
            </w:r>
            <w:r w:rsidRPr="00E80D3C">
              <w:rPr>
                <w:rFonts w:ascii="Arial" w:hAnsi="Arial" w:cs="Arial"/>
                <w:noProof/>
                <w:webHidden/>
              </w:rPr>
              <w:fldChar w:fldCharType="separate"/>
            </w:r>
            <w:r w:rsidR="00AB4AE9" w:rsidRPr="00E80D3C">
              <w:rPr>
                <w:rFonts w:ascii="Arial" w:hAnsi="Arial" w:cs="Arial"/>
                <w:noProof/>
                <w:webHidden/>
              </w:rPr>
              <w:t>3</w:t>
            </w:r>
            <w:r w:rsidRPr="00E80D3C">
              <w:rPr>
                <w:rFonts w:ascii="Arial" w:hAnsi="Arial" w:cs="Arial"/>
                <w:noProof/>
                <w:webHidden/>
              </w:rPr>
              <w:fldChar w:fldCharType="end"/>
            </w:r>
          </w:hyperlink>
        </w:p>
        <w:p w:rsidR="00A51657" w:rsidRPr="00E80D3C" w:rsidRDefault="00A2437E">
          <w:pPr>
            <w:pStyle w:val="TOC2"/>
            <w:tabs>
              <w:tab w:val="right" w:leader="dot" w:pos="9202"/>
            </w:tabs>
            <w:rPr>
              <w:rFonts w:ascii="Arial" w:hAnsi="Arial" w:cs="Arial"/>
              <w:noProof/>
              <w:lang w:eastAsia="en-AU"/>
            </w:rPr>
          </w:pPr>
          <w:hyperlink w:anchor="_Toc448316990" w:history="1">
            <w:r w:rsidR="00A51657" w:rsidRPr="00E80D3C">
              <w:rPr>
                <w:rStyle w:val="Hyperlink"/>
                <w:rFonts w:ascii="Arial" w:hAnsi="Arial" w:cs="Arial"/>
                <w:noProof/>
              </w:rPr>
              <w:t>Overview</w:t>
            </w:r>
            <w:r w:rsidR="00A51657" w:rsidRPr="00E80D3C">
              <w:rPr>
                <w:rFonts w:ascii="Arial" w:hAnsi="Arial" w:cs="Arial"/>
                <w:noProof/>
                <w:webHidden/>
              </w:rPr>
              <w:tab/>
            </w:r>
            <w:r w:rsidRPr="00E80D3C">
              <w:rPr>
                <w:rFonts w:ascii="Arial" w:hAnsi="Arial" w:cs="Arial"/>
                <w:noProof/>
                <w:webHidden/>
              </w:rPr>
              <w:fldChar w:fldCharType="begin"/>
            </w:r>
            <w:r w:rsidR="00A51657" w:rsidRPr="00E80D3C">
              <w:rPr>
                <w:rFonts w:ascii="Arial" w:hAnsi="Arial" w:cs="Arial"/>
                <w:noProof/>
                <w:webHidden/>
              </w:rPr>
              <w:instrText xml:space="preserve"> PAGEREF _Toc448316990 \h </w:instrText>
            </w:r>
            <w:r w:rsidRPr="00E80D3C">
              <w:rPr>
                <w:rFonts w:ascii="Arial" w:hAnsi="Arial" w:cs="Arial"/>
                <w:noProof/>
                <w:webHidden/>
              </w:rPr>
            </w:r>
            <w:r w:rsidRPr="00E80D3C">
              <w:rPr>
                <w:rFonts w:ascii="Arial" w:hAnsi="Arial" w:cs="Arial"/>
                <w:noProof/>
                <w:webHidden/>
              </w:rPr>
              <w:fldChar w:fldCharType="separate"/>
            </w:r>
            <w:r w:rsidR="00AB4AE9" w:rsidRPr="00E80D3C">
              <w:rPr>
                <w:rFonts w:ascii="Arial" w:hAnsi="Arial" w:cs="Arial"/>
                <w:noProof/>
                <w:webHidden/>
              </w:rPr>
              <w:t>3</w:t>
            </w:r>
            <w:r w:rsidRPr="00E80D3C">
              <w:rPr>
                <w:rFonts w:ascii="Arial" w:hAnsi="Arial" w:cs="Arial"/>
                <w:noProof/>
                <w:webHidden/>
              </w:rPr>
              <w:fldChar w:fldCharType="end"/>
            </w:r>
          </w:hyperlink>
        </w:p>
        <w:p w:rsidR="00A51657" w:rsidRPr="00E80D3C" w:rsidRDefault="00A2437E">
          <w:pPr>
            <w:pStyle w:val="TOC1"/>
            <w:tabs>
              <w:tab w:val="left" w:pos="440"/>
              <w:tab w:val="right" w:leader="dot" w:pos="9202"/>
            </w:tabs>
            <w:rPr>
              <w:rFonts w:ascii="Arial" w:hAnsi="Arial" w:cs="Arial"/>
              <w:noProof/>
              <w:lang w:eastAsia="en-AU"/>
            </w:rPr>
          </w:pPr>
          <w:hyperlink w:anchor="_Toc448316991" w:history="1">
            <w:r w:rsidR="00A51657" w:rsidRPr="00E80D3C">
              <w:rPr>
                <w:rStyle w:val="Hyperlink"/>
                <w:rFonts w:ascii="Arial" w:hAnsi="Arial" w:cs="Arial"/>
                <w:noProof/>
              </w:rPr>
              <w:t>2.</w:t>
            </w:r>
            <w:r w:rsidR="00A51657" w:rsidRPr="00E80D3C">
              <w:rPr>
                <w:rFonts w:ascii="Arial" w:hAnsi="Arial" w:cs="Arial"/>
                <w:noProof/>
                <w:lang w:eastAsia="en-AU"/>
              </w:rPr>
              <w:tab/>
            </w:r>
            <w:r w:rsidR="00A51657" w:rsidRPr="00E80D3C">
              <w:rPr>
                <w:rStyle w:val="Hyperlink"/>
                <w:rFonts w:ascii="Arial" w:hAnsi="Arial" w:cs="Arial"/>
                <w:noProof/>
              </w:rPr>
              <w:t>Seeking consent under EPBC s 359(3)</w:t>
            </w:r>
            <w:r w:rsidR="00A51657" w:rsidRPr="00E80D3C">
              <w:rPr>
                <w:rFonts w:ascii="Arial" w:hAnsi="Arial" w:cs="Arial"/>
                <w:noProof/>
                <w:webHidden/>
              </w:rPr>
              <w:tab/>
            </w:r>
            <w:r w:rsidRPr="00E80D3C">
              <w:rPr>
                <w:rFonts w:ascii="Arial" w:hAnsi="Arial" w:cs="Arial"/>
                <w:noProof/>
                <w:webHidden/>
              </w:rPr>
              <w:fldChar w:fldCharType="begin"/>
            </w:r>
            <w:r w:rsidR="00A51657" w:rsidRPr="00E80D3C">
              <w:rPr>
                <w:rFonts w:ascii="Arial" w:hAnsi="Arial" w:cs="Arial"/>
                <w:noProof/>
                <w:webHidden/>
              </w:rPr>
              <w:instrText xml:space="preserve"> PAGEREF _Toc448316991 \h </w:instrText>
            </w:r>
            <w:r w:rsidRPr="00E80D3C">
              <w:rPr>
                <w:rFonts w:ascii="Arial" w:hAnsi="Arial" w:cs="Arial"/>
                <w:noProof/>
                <w:webHidden/>
              </w:rPr>
            </w:r>
            <w:r w:rsidRPr="00E80D3C">
              <w:rPr>
                <w:rFonts w:ascii="Arial" w:hAnsi="Arial" w:cs="Arial"/>
                <w:noProof/>
                <w:webHidden/>
              </w:rPr>
              <w:fldChar w:fldCharType="separate"/>
            </w:r>
            <w:r w:rsidR="00AB4AE9" w:rsidRPr="00E80D3C">
              <w:rPr>
                <w:rFonts w:ascii="Arial" w:hAnsi="Arial" w:cs="Arial"/>
                <w:noProof/>
                <w:webHidden/>
              </w:rPr>
              <w:t>3</w:t>
            </w:r>
            <w:r w:rsidRPr="00E80D3C">
              <w:rPr>
                <w:rFonts w:ascii="Arial" w:hAnsi="Arial" w:cs="Arial"/>
                <w:noProof/>
                <w:webHidden/>
              </w:rPr>
              <w:fldChar w:fldCharType="end"/>
            </w:r>
          </w:hyperlink>
        </w:p>
        <w:p w:rsidR="00A51657" w:rsidRPr="00E80D3C" w:rsidRDefault="00A2437E">
          <w:pPr>
            <w:pStyle w:val="TOC2"/>
            <w:tabs>
              <w:tab w:val="right" w:leader="dot" w:pos="9202"/>
            </w:tabs>
            <w:rPr>
              <w:rFonts w:ascii="Arial" w:hAnsi="Arial" w:cs="Arial"/>
              <w:noProof/>
              <w:lang w:eastAsia="en-AU"/>
            </w:rPr>
          </w:pPr>
          <w:hyperlink w:anchor="_Toc448316992" w:history="1">
            <w:r w:rsidR="00A51657" w:rsidRPr="00E80D3C">
              <w:rPr>
                <w:rStyle w:val="Hyperlink"/>
                <w:rFonts w:ascii="Arial" w:hAnsi="Arial" w:cs="Arial"/>
                <w:noProof/>
              </w:rPr>
              <w:t>Overview</w:t>
            </w:r>
            <w:r w:rsidR="00A51657" w:rsidRPr="00E80D3C">
              <w:rPr>
                <w:rFonts w:ascii="Arial" w:hAnsi="Arial" w:cs="Arial"/>
                <w:noProof/>
                <w:webHidden/>
              </w:rPr>
              <w:tab/>
            </w:r>
            <w:r w:rsidRPr="00E80D3C">
              <w:rPr>
                <w:rFonts w:ascii="Arial" w:hAnsi="Arial" w:cs="Arial"/>
                <w:noProof/>
                <w:webHidden/>
              </w:rPr>
              <w:fldChar w:fldCharType="begin"/>
            </w:r>
            <w:r w:rsidR="00A51657" w:rsidRPr="00E80D3C">
              <w:rPr>
                <w:rFonts w:ascii="Arial" w:hAnsi="Arial" w:cs="Arial"/>
                <w:noProof/>
                <w:webHidden/>
              </w:rPr>
              <w:instrText xml:space="preserve"> PAGEREF _Toc448316992 \h </w:instrText>
            </w:r>
            <w:r w:rsidRPr="00E80D3C">
              <w:rPr>
                <w:rFonts w:ascii="Arial" w:hAnsi="Arial" w:cs="Arial"/>
                <w:noProof/>
                <w:webHidden/>
              </w:rPr>
            </w:r>
            <w:r w:rsidRPr="00E80D3C">
              <w:rPr>
                <w:rFonts w:ascii="Arial" w:hAnsi="Arial" w:cs="Arial"/>
                <w:noProof/>
                <w:webHidden/>
              </w:rPr>
              <w:fldChar w:fldCharType="separate"/>
            </w:r>
            <w:r w:rsidR="00AB4AE9" w:rsidRPr="00E80D3C">
              <w:rPr>
                <w:rFonts w:ascii="Arial" w:hAnsi="Arial" w:cs="Arial"/>
                <w:noProof/>
                <w:webHidden/>
              </w:rPr>
              <w:t>3</w:t>
            </w:r>
            <w:r w:rsidRPr="00E80D3C">
              <w:rPr>
                <w:rFonts w:ascii="Arial" w:hAnsi="Arial" w:cs="Arial"/>
                <w:noProof/>
                <w:webHidden/>
              </w:rPr>
              <w:fldChar w:fldCharType="end"/>
            </w:r>
          </w:hyperlink>
        </w:p>
        <w:p w:rsidR="00A51657" w:rsidRPr="00E80D3C" w:rsidRDefault="00A2437E">
          <w:pPr>
            <w:pStyle w:val="TOC2"/>
            <w:tabs>
              <w:tab w:val="right" w:leader="dot" w:pos="9202"/>
            </w:tabs>
            <w:rPr>
              <w:rFonts w:ascii="Arial" w:hAnsi="Arial" w:cs="Arial"/>
              <w:noProof/>
              <w:lang w:eastAsia="en-AU"/>
            </w:rPr>
          </w:pPr>
          <w:hyperlink w:anchor="_Toc448316993" w:history="1">
            <w:r w:rsidR="00A51657" w:rsidRPr="00E80D3C">
              <w:rPr>
                <w:rStyle w:val="Hyperlink"/>
                <w:rFonts w:ascii="Arial" w:hAnsi="Arial" w:cs="Arial"/>
                <w:noProof/>
              </w:rPr>
              <w:t>How to apply</w:t>
            </w:r>
            <w:r w:rsidR="00A51657" w:rsidRPr="00E80D3C">
              <w:rPr>
                <w:rFonts w:ascii="Arial" w:hAnsi="Arial" w:cs="Arial"/>
                <w:noProof/>
                <w:webHidden/>
              </w:rPr>
              <w:tab/>
            </w:r>
            <w:r w:rsidRPr="00E80D3C">
              <w:rPr>
                <w:rFonts w:ascii="Arial" w:hAnsi="Arial" w:cs="Arial"/>
                <w:noProof/>
                <w:webHidden/>
              </w:rPr>
              <w:fldChar w:fldCharType="begin"/>
            </w:r>
            <w:r w:rsidR="00A51657" w:rsidRPr="00E80D3C">
              <w:rPr>
                <w:rFonts w:ascii="Arial" w:hAnsi="Arial" w:cs="Arial"/>
                <w:noProof/>
                <w:webHidden/>
              </w:rPr>
              <w:instrText xml:space="preserve"> PAGEREF _Toc448316993 \h </w:instrText>
            </w:r>
            <w:r w:rsidRPr="00E80D3C">
              <w:rPr>
                <w:rFonts w:ascii="Arial" w:hAnsi="Arial" w:cs="Arial"/>
                <w:noProof/>
                <w:webHidden/>
              </w:rPr>
            </w:r>
            <w:r w:rsidRPr="00E80D3C">
              <w:rPr>
                <w:rFonts w:ascii="Arial" w:hAnsi="Arial" w:cs="Arial"/>
                <w:noProof/>
                <w:webHidden/>
              </w:rPr>
              <w:fldChar w:fldCharType="separate"/>
            </w:r>
            <w:r w:rsidR="00AB4AE9" w:rsidRPr="00E80D3C">
              <w:rPr>
                <w:rFonts w:ascii="Arial" w:hAnsi="Arial" w:cs="Arial"/>
                <w:noProof/>
                <w:webHidden/>
              </w:rPr>
              <w:t>4</w:t>
            </w:r>
            <w:r w:rsidRPr="00E80D3C">
              <w:rPr>
                <w:rFonts w:ascii="Arial" w:hAnsi="Arial" w:cs="Arial"/>
                <w:noProof/>
                <w:webHidden/>
              </w:rPr>
              <w:fldChar w:fldCharType="end"/>
            </w:r>
          </w:hyperlink>
        </w:p>
        <w:p w:rsidR="00A51657" w:rsidRPr="00E80D3C" w:rsidRDefault="00A2437E">
          <w:pPr>
            <w:pStyle w:val="TOC2"/>
            <w:tabs>
              <w:tab w:val="right" w:leader="dot" w:pos="9202"/>
            </w:tabs>
            <w:rPr>
              <w:rFonts w:ascii="Arial" w:hAnsi="Arial" w:cs="Arial"/>
              <w:noProof/>
              <w:lang w:eastAsia="en-AU"/>
            </w:rPr>
          </w:pPr>
          <w:hyperlink w:anchor="_Toc448316994" w:history="1">
            <w:r w:rsidR="00A51657" w:rsidRPr="00E80D3C">
              <w:rPr>
                <w:rStyle w:val="Hyperlink"/>
                <w:rFonts w:ascii="Arial" w:hAnsi="Arial" w:cs="Arial"/>
                <w:noProof/>
              </w:rPr>
              <w:t>Criteria for assessment</w:t>
            </w:r>
            <w:r w:rsidR="00A51657" w:rsidRPr="00E80D3C">
              <w:rPr>
                <w:rFonts w:ascii="Arial" w:hAnsi="Arial" w:cs="Arial"/>
                <w:noProof/>
                <w:webHidden/>
              </w:rPr>
              <w:tab/>
            </w:r>
            <w:r w:rsidRPr="00E80D3C">
              <w:rPr>
                <w:rFonts w:ascii="Arial" w:hAnsi="Arial" w:cs="Arial"/>
                <w:noProof/>
                <w:webHidden/>
              </w:rPr>
              <w:fldChar w:fldCharType="begin"/>
            </w:r>
            <w:r w:rsidR="00A51657" w:rsidRPr="00E80D3C">
              <w:rPr>
                <w:rFonts w:ascii="Arial" w:hAnsi="Arial" w:cs="Arial"/>
                <w:noProof/>
                <w:webHidden/>
              </w:rPr>
              <w:instrText xml:space="preserve"> PAGEREF _Toc448316994 \h </w:instrText>
            </w:r>
            <w:r w:rsidRPr="00E80D3C">
              <w:rPr>
                <w:rFonts w:ascii="Arial" w:hAnsi="Arial" w:cs="Arial"/>
                <w:noProof/>
                <w:webHidden/>
              </w:rPr>
            </w:r>
            <w:r w:rsidRPr="00E80D3C">
              <w:rPr>
                <w:rFonts w:ascii="Arial" w:hAnsi="Arial" w:cs="Arial"/>
                <w:noProof/>
                <w:webHidden/>
              </w:rPr>
              <w:fldChar w:fldCharType="separate"/>
            </w:r>
            <w:r w:rsidR="00AB4AE9" w:rsidRPr="00E80D3C">
              <w:rPr>
                <w:rFonts w:ascii="Arial" w:hAnsi="Arial" w:cs="Arial"/>
                <w:noProof/>
                <w:webHidden/>
              </w:rPr>
              <w:t>4</w:t>
            </w:r>
            <w:r w:rsidRPr="00E80D3C">
              <w:rPr>
                <w:rFonts w:ascii="Arial" w:hAnsi="Arial" w:cs="Arial"/>
                <w:noProof/>
                <w:webHidden/>
              </w:rPr>
              <w:fldChar w:fldCharType="end"/>
            </w:r>
          </w:hyperlink>
        </w:p>
        <w:p w:rsidR="00A51657" w:rsidRPr="00E80D3C" w:rsidRDefault="00A2437E">
          <w:pPr>
            <w:pStyle w:val="TOC2"/>
            <w:tabs>
              <w:tab w:val="right" w:leader="dot" w:pos="9202"/>
            </w:tabs>
            <w:rPr>
              <w:rFonts w:ascii="Arial" w:hAnsi="Arial" w:cs="Arial"/>
              <w:noProof/>
              <w:lang w:eastAsia="en-AU"/>
            </w:rPr>
          </w:pPr>
          <w:hyperlink w:anchor="_Toc448316995" w:history="1">
            <w:r w:rsidR="00A51657" w:rsidRPr="00E80D3C">
              <w:rPr>
                <w:rStyle w:val="Hyperlink"/>
                <w:rFonts w:ascii="Arial" w:hAnsi="Arial" w:cs="Arial"/>
                <w:noProof/>
              </w:rPr>
              <w:t>Conditions</w:t>
            </w:r>
            <w:r w:rsidR="00A51657" w:rsidRPr="00E80D3C">
              <w:rPr>
                <w:rFonts w:ascii="Arial" w:hAnsi="Arial" w:cs="Arial"/>
                <w:noProof/>
                <w:webHidden/>
              </w:rPr>
              <w:tab/>
            </w:r>
            <w:r w:rsidRPr="00E80D3C">
              <w:rPr>
                <w:rFonts w:ascii="Arial" w:hAnsi="Arial" w:cs="Arial"/>
                <w:noProof/>
                <w:webHidden/>
              </w:rPr>
              <w:fldChar w:fldCharType="begin"/>
            </w:r>
            <w:r w:rsidR="00A51657" w:rsidRPr="00E80D3C">
              <w:rPr>
                <w:rFonts w:ascii="Arial" w:hAnsi="Arial" w:cs="Arial"/>
                <w:noProof/>
                <w:webHidden/>
              </w:rPr>
              <w:instrText xml:space="preserve"> PAGEREF _Toc448316995 \h </w:instrText>
            </w:r>
            <w:r w:rsidRPr="00E80D3C">
              <w:rPr>
                <w:rFonts w:ascii="Arial" w:hAnsi="Arial" w:cs="Arial"/>
                <w:noProof/>
                <w:webHidden/>
              </w:rPr>
            </w:r>
            <w:r w:rsidRPr="00E80D3C">
              <w:rPr>
                <w:rFonts w:ascii="Arial" w:hAnsi="Arial" w:cs="Arial"/>
                <w:noProof/>
                <w:webHidden/>
              </w:rPr>
              <w:fldChar w:fldCharType="separate"/>
            </w:r>
            <w:r w:rsidR="00AB4AE9" w:rsidRPr="00E80D3C">
              <w:rPr>
                <w:rFonts w:ascii="Arial" w:hAnsi="Arial" w:cs="Arial"/>
                <w:noProof/>
                <w:webHidden/>
              </w:rPr>
              <w:t>4</w:t>
            </w:r>
            <w:r w:rsidRPr="00E80D3C">
              <w:rPr>
                <w:rFonts w:ascii="Arial" w:hAnsi="Arial" w:cs="Arial"/>
                <w:noProof/>
                <w:webHidden/>
              </w:rPr>
              <w:fldChar w:fldCharType="end"/>
            </w:r>
          </w:hyperlink>
        </w:p>
        <w:p w:rsidR="00A51657" w:rsidRPr="00E80D3C" w:rsidRDefault="00A2437E">
          <w:pPr>
            <w:pStyle w:val="TOC2"/>
            <w:tabs>
              <w:tab w:val="right" w:leader="dot" w:pos="9202"/>
            </w:tabs>
            <w:rPr>
              <w:rFonts w:ascii="Arial" w:hAnsi="Arial" w:cs="Arial"/>
              <w:noProof/>
              <w:lang w:eastAsia="en-AU"/>
            </w:rPr>
          </w:pPr>
          <w:hyperlink w:anchor="_Toc448316996" w:history="1">
            <w:r w:rsidR="00A51657" w:rsidRPr="00E80D3C">
              <w:rPr>
                <w:rStyle w:val="Hyperlink"/>
                <w:rFonts w:ascii="Arial" w:hAnsi="Arial" w:cs="Arial"/>
                <w:noProof/>
              </w:rPr>
              <w:t>Refusal of Consent</w:t>
            </w:r>
            <w:r w:rsidR="00A51657" w:rsidRPr="00E80D3C">
              <w:rPr>
                <w:rFonts w:ascii="Arial" w:hAnsi="Arial" w:cs="Arial"/>
                <w:noProof/>
                <w:webHidden/>
              </w:rPr>
              <w:tab/>
            </w:r>
            <w:r w:rsidRPr="00E80D3C">
              <w:rPr>
                <w:rFonts w:ascii="Arial" w:hAnsi="Arial" w:cs="Arial"/>
                <w:noProof/>
                <w:webHidden/>
              </w:rPr>
              <w:fldChar w:fldCharType="begin"/>
            </w:r>
            <w:r w:rsidR="00A51657" w:rsidRPr="00E80D3C">
              <w:rPr>
                <w:rFonts w:ascii="Arial" w:hAnsi="Arial" w:cs="Arial"/>
                <w:noProof/>
                <w:webHidden/>
              </w:rPr>
              <w:instrText xml:space="preserve"> PAGEREF _Toc448316996 \h </w:instrText>
            </w:r>
            <w:r w:rsidRPr="00E80D3C">
              <w:rPr>
                <w:rFonts w:ascii="Arial" w:hAnsi="Arial" w:cs="Arial"/>
                <w:noProof/>
                <w:webHidden/>
              </w:rPr>
            </w:r>
            <w:r w:rsidRPr="00E80D3C">
              <w:rPr>
                <w:rFonts w:ascii="Arial" w:hAnsi="Arial" w:cs="Arial"/>
                <w:noProof/>
                <w:webHidden/>
              </w:rPr>
              <w:fldChar w:fldCharType="separate"/>
            </w:r>
            <w:r w:rsidR="00AB4AE9" w:rsidRPr="00E80D3C">
              <w:rPr>
                <w:rFonts w:ascii="Arial" w:hAnsi="Arial" w:cs="Arial"/>
                <w:noProof/>
                <w:webHidden/>
              </w:rPr>
              <w:t>5</w:t>
            </w:r>
            <w:r w:rsidRPr="00E80D3C">
              <w:rPr>
                <w:rFonts w:ascii="Arial" w:hAnsi="Arial" w:cs="Arial"/>
                <w:noProof/>
                <w:webHidden/>
              </w:rPr>
              <w:fldChar w:fldCharType="end"/>
            </w:r>
          </w:hyperlink>
        </w:p>
        <w:p w:rsidR="00A51657" w:rsidRPr="00E80D3C" w:rsidRDefault="00A2437E">
          <w:pPr>
            <w:pStyle w:val="TOC1"/>
            <w:tabs>
              <w:tab w:val="left" w:pos="440"/>
              <w:tab w:val="right" w:leader="dot" w:pos="9202"/>
            </w:tabs>
            <w:rPr>
              <w:rFonts w:ascii="Arial" w:hAnsi="Arial" w:cs="Arial"/>
              <w:noProof/>
              <w:lang w:eastAsia="en-AU"/>
            </w:rPr>
          </w:pPr>
          <w:hyperlink w:anchor="_Toc448316997" w:history="1">
            <w:r w:rsidR="00A51657" w:rsidRPr="00E80D3C">
              <w:rPr>
                <w:rStyle w:val="Hyperlink"/>
                <w:rFonts w:ascii="Arial" w:hAnsi="Arial" w:cs="Arial"/>
                <w:noProof/>
              </w:rPr>
              <w:t>3.</w:t>
            </w:r>
            <w:r w:rsidR="00A51657" w:rsidRPr="00E80D3C">
              <w:rPr>
                <w:rFonts w:ascii="Arial" w:hAnsi="Arial" w:cs="Arial"/>
                <w:noProof/>
                <w:lang w:eastAsia="en-AU"/>
              </w:rPr>
              <w:tab/>
            </w:r>
            <w:r w:rsidR="00A51657" w:rsidRPr="00E80D3C">
              <w:rPr>
                <w:rStyle w:val="Hyperlink"/>
                <w:rFonts w:ascii="Arial" w:hAnsi="Arial" w:cs="Arial"/>
                <w:noProof/>
              </w:rPr>
              <w:t>Ceasing to be a prior usage right</w:t>
            </w:r>
            <w:r w:rsidR="00A51657" w:rsidRPr="00E80D3C">
              <w:rPr>
                <w:rFonts w:ascii="Arial" w:hAnsi="Arial" w:cs="Arial"/>
                <w:noProof/>
                <w:webHidden/>
              </w:rPr>
              <w:tab/>
            </w:r>
            <w:r w:rsidRPr="00E80D3C">
              <w:rPr>
                <w:rFonts w:ascii="Arial" w:hAnsi="Arial" w:cs="Arial"/>
                <w:noProof/>
                <w:webHidden/>
              </w:rPr>
              <w:fldChar w:fldCharType="begin"/>
            </w:r>
            <w:r w:rsidR="00A51657" w:rsidRPr="00E80D3C">
              <w:rPr>
                <w:rFonts w:ascii="Arial" w:hAnsi="Arial" w:cs="Arial"/>
                <w:noProof/>
                <w:webHidden/>
              </w:rPr>
              <w:instrText xml:space="preserve"> PAGEREF _Toc448316997 \h </w:instrText>
            </w:r>
            <w:r w:rsidRPr="00E80D3C">
              <w:rPr>
                <w:rFonts w:ascii="Arial" w:hAnsi="Arial" w:cs="Arial"/>
                <w:noProof/>
                <w:webHidden/>
              </w:rPr>
            </w:r>
            <w:r w:rsidRPr="00E80D3C">
              <w:rPr>
                <w:rFonts w:ascii="Arial" w:hAnsi="Arial" w:cs="Arial"/>
                <w:noProof/>
                <w:webHidden/>
              </w:rPr>
              <w:fldChar w:fldCharType="separate"/>
            </w:r>
            <w:r w:rsidR="00AB4AE9" w:rsidRPr="00E80D3C">
              <w:rPr>
                <w:rFonts w:ascii="Arial" w:hAnsi="Arial" w:cs="Arial"/>
                <w:noProof/>
                <w:webHidden/>
              </w:rPr>
              <w:t>5</w:t>
            </w:r>
            <w:r w:rsidRPr="00E80D3C">
              <w:rPr>
                <w:rFonts w:ascii="Arial" w:hAnsi="Arial" w:cs="Arial"/>
                <w:noProof/>
                <w:webHidden/>
              </w:rPr>
              <w:fldChar w:fldCharType="end"/>
            </w:r>
          </w:hyperlink>
        </w:p>
        <w:p w:rsidR="00A51657" w:rsidRPr="00E80D3C" w:rsidRDefault="00A2437E">
          <w:pPr>
            <w:pStyle w:val="TOC1"/>
            <w:tabs>
              <w:tab w:val="left" w:pos="440"/>
              <w:tab w:val="right" w:leader="dot" w:pos="9202"/>
            </w:tabs>
            <w:rPr>
              <w:rFonts w:ascii="Arial" w:hAnsi="Arial" w:cs="Arial"/>
              <w:noProof/>
            </w:rPr>
          </w:pPr>
          <w:hyperlink w:anchor="_Toc448316998" w:history="1">
            <w:r w:rsidR="00A51657" w:rsidRPr="00E80D3C">
              <w:rPr>
                <w:rStyle w:val="Hyperlink"/>
                <w:rFonts w:ascii="Arial" w:hAnsi="Arial" w:cs="Arial"/>
                <w:noProof/>
              </w:rPr>
              <w:t>4.</w:t>
            </w:r>
            <w:r w:rsidR="00A51657" w:rsidRPr="00E80D3C">
              <w:rPr>
                <w:rFonts w:ascii="Arial" w:hAnsi="Arial" w:cs="Arial"/>
                <w:noProof/>
                <w:lang w:eastAsia="en-AU"/>
              </w:rPr>
              <w:tab/>
            </w:r>
            <w:r w:rsidR="00A51657" w:rsidRPr="00E80D3C">
              <w:rPr>
                <w:rStyle w:val="Hyperlink"/>
                <w:rFonts w:ascii="Arial" w:hAnsi="Arial" w:cs="Arial"/>
                <w:noProof/>
              </w:rPr>
              <w:t>Questions</w:t>
            </w:r>
            <w:r w:rsidR="00A51657" w:rsidRPr="00E80D3C">
              <w:rPr>
                <w:rFonts w:ascii="Arial" w:hAnsi="Arial" w:cs="Arial"/>
                <w:noProof/>
                <w:webHidden/>
              </w:rPr>
              <w:tab/>
            </w:r>
            <w:r w:rsidRPr="00E80D3C">
              <w:rPr>
                <w:rFonts w:ascii="Arial" w:hAnsi="Arial" w:cs="Arial"/>
                <w:noProof/>
                <w:webHidden/>
              </w:rPr>
              <w:fldChar w:fldCharType="begin"/>
            </w:r>
            <w:r w:rsidR="00A51657" w:rsidRPr="00E80D3C">
              <w:rPr>
                <w:rFonts w:ascii="Arial" w:hAnsi="Arial" w:cs="Arial"/>
                <w:noProof/>
                <w:webHidden/>
              </w:rPr>
              <w:instrText xml:space="preserve"> PAGEREF _Toc448316998 \h </w:instrText>
            </w:r>
            <w:r w:rsidRPr="00E80D3C">
              <w:rPr>
                <w:rFonts w:ascii="Arial" w:hAnsi="Arial" w:cs="Arial"/>
                <w:noProof/>
                <w:webHidden/>
              </w:rPr>
            </w:r>
            <w:r w:rsidRPr="00E80D3C">
              <w:rPr>
                <w:rFonts w:ascii="Arial" w:hAnsi="Arial" w:cs="Arial"/>
                <w:noProof/>
                <w:webHidden/>
              </w:rPr>
              <w:fldChar w:fldCharType="separate"/>
            </w:r>
            <w:r w:rsidR="00AB4AE9" w:rsidRPr="00E80D3C">
              <w:rPr>
                <w:rFonts w:ascii="Arial" w:hAnsi="Arial" w:cs="Arial"/>
                <w:noProof/>
                <w:webHidden/>
              </w:rPr>
              <w:t>5</w:t>
            </w:r>
            <w:r w:rsidRPr="00E80D3C">
              <w:rPr>
                <w:rFonts w:ascii="Arial" w:hAnsi="Arial" w:cs="Arial"/>
                <w:noProof/>
                <w:webHidden/>
              </w:rPr>
              <w:fldChar w:fldCharType="end"/>
            </w:r>
          </w:hyperlink>
        </w:p>
        <w:p w:rsidR="00A9751D" w:rsidRPr="00E80D3C" w:rsidRDefault="00A9751D" w:rsidP="00A9751D">
          <w:pPr>
            <w:rPr>
              <w:rFonts w:cs="Arial"/>
              <w:noProof/>
            </w:rPr>
          </w:pPr>
        </w:p>
        <w:p w:rsidR="00A51657" w:rsidRPr="00E80D3C" w:rsidRDefault="00A2437E">
          <w:pPr>
            <w:pStyle w:val="TOC1"/>
            <w:tabs>
              <w:tab w:val="right" w:leader="dot" w:pos="9202"/>
            </w:tabs>
            <w:rPr>
              <w:rFonts w:ascii="Arial" w:hAnsi="Arial" w:cs="Arial"/>
              <w:noProof/>
              <w:lang w:eastAsia="en-AU"/>
            </w:rPr>
          </w:pPr>
          <w:hyperlink w:anchor="_Toc448316999" w:history="1">
            <w:r w:rsidR="00A51657" w:rsidRPr="00E80D3C">
              <w:rPr>
                <w:rStyle w:val="Hyperlink"/>
                <w:rFonts w:ascii="Arial" w:hAnsi="Arial" w:cs="Arial"/>
                <w:noProof/>
              </w:rPr>
              <w:t>Appendix A</w:t>
            </w:r>
            <w:r w:rsidR="00A51657" w:rsidRPr="00E80D3C">
              <w:rPr>
                <w:rFonts w:ascii="Arial" w:hAnsi="Arial" w:cs="Arial"/>
                <w:noProof/>
                <w:webHidden/>
              </w:rPr>
              <w:tab/>
            </w:r>
            <w:r w:rsidRPr="00E80D3C">
              <w:rPr>
                <w:rFonts w:ascii="Arial" w:hAnsi="Arial" w:cs="Arial"/>
                <w:noProof/>
                <w:webHidden/>
              </w:rPr>
              <w:fldChar w:fldCharType="begin"/>
            </w:r>
            <w:r w:rsidR="00A51657" w:rsidRPr="00E80D3C">
              <w:rPr>
                <w:rFonts w:ascii="Arial" w:hAnsi="Arial" w:cs="Arial"/>
                <w:noProof/>
                <w:webHidden/>
              </w:rPr>
              <w:instrText xml:space="preserve"> PAGEREF _Toc448316999 \h </w:instrText>
            </w:r>
            <w:r w:rsidRPr="00E80D3C">
              <w:rPr>
                <w:rFonts w:ascii="Arial" w:hAnsi="Arial" w:cs="Arial"/>
                <w:noProof/>
                <w:webHidden/>
              </w:rPr>
            </w:r>
            <w:r w:rsidRPr="00E80D3C">
              <w:rPr>
                <w:rFonts w:ascii="Arial" w:hAnsi="Arial" w:cs="Arial"/>
                <w:noProof/>
                <w:webHidden/>
              </w:rPr>
              <w:fldChar w:fldCharType="separate"/>
            </w:r>
            <w:r w:rsidR="00AB4AE9" w:rsidRPr="00E80D3C">
              <w:rPr>
                <w:rFonts w:ascii="Arial" w:hAnsi="Arial" w:cs="Arial"/>
                <w:noProof/>
                <w:webHidden/>
              </w:rPr>
              <w:t>6</w:t>
            </w:r>
            <w:r w:rsidRPr="00E80D3C">
              <w:rPr>
                <w:rFonts w:ascii="Arial" w:hAnsi="Arial" w:cs="Arial"/>
                <w:noProof/>
                <w:webHidden/>
              </w:rPr>
              <w:fldChar w:fldCharType="end"/>
            </w:r>
          </w:hyperlink>
        </w:p>
        <w:p w:rsidR="00A51657" w:rsidRPr="00E80D3C" w:rsidRDefault="00A2437E" w:rsidP="00A9751D">
          <w:pPr>
            <w:pStyle w:val="TOC2"/>
            <w:tabs>
              <w:tab w:val="right" w:leader="dot" w:pos="9202"/>
            </w:tabs>
            <w:ind w:left="0"/>
            <w:rPr>
              <w:rFonts w:ascii="Arial" w:hAnsi="Arial" w:cs="Arial"/>
              <w:noProof/>
              <w:lang w:eastAsia="en-AU"/>
            </w:rPr>
          </w:pPr>
          <w:hyperlink w:anchor="_Toc448317000" w:history="1">
            <w:r w:rsidR="00A51657" w:rsidRPr="00E80D3C">
              <w:rPr>
                <w:rStyle w:val="Hyperlink"/>
                <w:rFonts w:ascii="Arial" w:hAnsi="Arial" w:cs="Arial"/>
                <w:noProof/>
              </w:rPr>
              <w:t>Process Diagram</w:t>
            </w:r>
            <w:r w:rsidR="00A51657" w:rsidRPr="00E80D3C">
              <w:rPr>
                <w:rFonts w:ascii="Arial" w:hAnsi="Arial" w:cs="Arial"/>
                <w:noProof/>
                <w:webHidden/>
              </w:rPr>
              <w:tab/>
            </w:r>
            <w:r w:rsidRPr="00E80D3C">
              <w:rPr>
                <w:rFonts w:ascii="Arial" w:hAnsi="Arial" w:cs="Arial"/>
                <w:noProof/>
                <w:webHidden/>
              </w:rPr>
              <w:fldChar w:fldCharType="begin"/>
            </w:r>
            <w:r w:rsidR="00A51657" w:rsidRPr="00E80D3C">
              <w:rPr>
                <w:rFonts w:ascii="Arial" w:hAnsi="Arial" w:cs="Arial"/>
                <w:noProof/>
                <w:webHidden/>
              </w:rPr>
              <w:instrText xml:space="preserve"> PAGEREF _Toc448317000 \h </w:instrText>
            </w:r>
            <w:r w:rsidRPr="00E80D3C">
              <w:rPr>
                <w:rFonts w:ascii="Arial" w:hAnsi="Arial" w:cs="Arial"/>
                <w:noProof/>
                <w:webHidden/>
              </w:rPr>
            </w:r>
            <w:r w:rsidRPr="00E80D3C">
              <w:rPr>
                <w:rFonts w:ascii="Arial" w:hAnsi="Arial" w:cs="Arial"/>
                <w:noProof/>
                <w:webHidden/>
              </w:rPr>
              <w:fldChar w:fldCharType="separate"/>
            </w:r>
            <w:r w:rsidR="00AB4AE9" w:rsidRPr="00E80D3C">
              <w:rPr>
                <w:rFonts w:ascii="Arial" w:hAnsi="Arial" w:cs="Arial"/>
                <w:noProof/>
                <w:webHidden/>
              </w:rPr>
              <w:t>6</w:t>
            </w:r>
            <w:r w:rsidRPr="00E80D3C">
              <w:rPr>
                <w:rFonts w:ascii="Arial" w:hAnsi="Arial" w:cs="Arial"/>
                <w:noProof/>
                <w:webHidden/>
              </w:rPr>
              <w:fldChar w:fldCharType="end"/>
            </w:r>
          </w:hyperlink>
        </w:p>
        <w:p w:rsidR="001B25EE" w:rsidRDefault="00A2437E" w:rsidP="001B25EE">
          <w:r w:rsidRPr="00E80D3C">
            <w:rPr>
              <w:rFonts w:cs="Arial"/>
              <w:b/>
              <w:bCs/>
              <w:noProof/>
            </w:rPr>
            <w:fldChar w:fldCharType="end"/>
          </w:r>
        </w:p>
      </w:sdtContent>
    </w:sdt>
    <w:p w:rsidR="001B25EE" w:rsidRDefault="001B25EE" w:rsidP="001B25EE">
      <w:pPr>
        <w:rPr>
          <w:rFonts w:cs="Arial"/>
          <w:noProof/>
        </w:rPr>
      </w:pPr>
      <w:r>
        <w:rPr>
          <w:rFonts w:cs="Arial"/>
          <w:noProof/>
        </w:rPr>
        <w:br w:type="page"/>
      </w:r>
      <w:bookmarkStart w:id="7" w:name="CursorPositionBM"/>
      <w:bookmarkEnd w:id="7"/>
    </w:p>
    <w:p w:rsidR="001B25EE" w:rsidRPr="00F121BA" w:rsidRDefault="001B25EE" w:rsidP="001B25EE">
      <w:pPr>
        <w:pStyle w:val="Heading1"/>
        <w:keepNext w:val="0"/>
        <w:numPr>
          <w:ilvl w:val="0"/>
          <w:numId w:val="7"/>
        </w:numPr>
        <w:spacing w:before="480" w:after="0"/>
        <w:contextualSpacing/>
      </w:pPr>
      <w:bookmarkStart w:id="8" w:name="_Toc448316989"/>
      <w:r w:rsidRPr="00F121BA">
        <w:lastRenderedPageBreak/>
        <w:t>What is a ‘Prior Usage Right’</w:t>
      </w:r>
      <w:bookmarkEnd w:id="8"/>
    </w:p>
    <w:p w:rsidR="001B25EE" w:rsidRDefault="00A2437E" w:rsidP="001B25EE">
      <w:hyperlink r:id="rId12" w:history="1">
        <w:r w:rsidR="001B25EE" w:rsidRPr="001553D1">
          <w:rPr>
            <w:rStyle w:val="Hyperlink"/>
            <w:rFonts w:eastAsiaTheme="majorEastAsia" w:cs="Arial"/>
            <w:i/>
          </w:rPr>
          <w:t>Environment Protection and Biodiversity Conservation Act 1999</w:t>
        </w:r>
      </w:hyperlink>
      <w:r w:rsidR="001B25EE" w:rsidRPr="000E0ABD">
        <w:rPr>
          <w:rFonts w:cs="Arial"/>
        </w:rPr>
        <w:t xml:space="preserve"> </w:t>
      </w:r>
      <w:r w:rsidR="00D37ED0" w:rsidRPr="00A51657">
        <w:rPr>
          <w:rFonts w:cs="Arial"/>
        </w:rPr>
        <w:t xml:space="preserve"> </w:t>
      </w:r>
      <w:r w:rsidR="001B25EE" w:rsidRPr="000E0ABD">
        <w:rPr>
          <w:rFonts w:cs="Arial"/>
        </w:rPr>
        <w:t>(EPBC Act) section 359</w:t>
      </w:r>
    </w:p>
    <w:p w:rsidR="001B25EE" w:rsidRPr="00381097" w:rsidRDefault="001B25EE" w:rsidP="001B25EE">
      <w:pPr>
        <w:pStyle w:val="Heading2"/>
      </w:pPr>
      <w:bookmarkStart w:id="9" w:name="_Toc448316990"/>
      <w:r w:rsidRPr="00381097">
        <w:t>Overview</w:t>
      </w:r>
      <w:bookmarkEnd w:id="9"/>
    </w:p>
    <w:p w:rsidR="001B25EE" w:rsidRPr="005549BB" w:rsidRDefault="001B25EE" w:rsidP="001B25EE">
      <w:pPr>
        <w:pStyle w:val="List2"/>
        <w:numPr>
          <w:ilvl w:val="0"/>
          <w:numId w:val="8"/>
        </w:numPr>
        <w:spacing w:after="120"/>
        <w:contextualSpacing w:val="0"/>
        <w:rPr>
          <w:rFonts w:cs="Arial"/>
        </w:rPr>
      </w:pPr>
      <w:r w:rsidRPr="006618B1">
        <w:rPr>
          <w:rFonts w:cs="Arial"/>
          <w:szCs w:val="24"/>
        </w:rPr>
        <w:t xml:space="preserve">A petroleum title granted under the </w:t>
      </w:r>
      <w:hyperlink r:id="rId13" w:history="1">
        <w:r w:rsidRPr="001553D1">
          <w:rPr>
            <w:rStyle w:val="Hyperlink"/>
            <w:rFonts w:cs="Arial"/>
            <w:i/>
          </w:rPr>
          <w:t>Offshore Petroleum and Greenhouse Gas Storage Act 2006</w:t>
        </w:r>
      </w:hyperlink>
      <w:r>
        <w:rPr>
          <w:rFonts w:cs="Arial"/>
        </w:rPr>
        <w:t xml:space="preserve"> (</w:t>
      </w:r>
      <w:r>
        <w:rPr>
          <w:rFonts w:cs="Arial"/>
          <w:szCs w:val="24"/>
        </w:rPr>
        <w:t>OPGGS Act</w:t>
      </w:r>
      <w:r>
        <w:rPr>
          <w:rFonts w:cs="Arial"/>
        </w:rPr>
        <w:t>)</w:t>
      </w:r>
      <w:r>
        <w:rPr>
          <w:rFonts w:cs="Arial"/>
          <w:szCs w:val="24"/>
        </w:rPr>
        <w:t xml:space="preserve"> </w:t>
      </w:r>
      <w:r w:rsidRPr="006618B1">
        <w:rPr>
          <w:rFonts w:cs="Arial"/>
          <w:szCs w:val="24"/>
        </w:rPr>
        <w:t>is a ‘prior usage right’ for the purposes of the</w:t>
      </w:r>
      <w:r>
        <w:rPr>
          <w:rFonts w:cs="Arial"/>
          <w:szCs w:val="24"/>
        </w:rPr>
        <w:t xml:space="preserve"> EPBC Act</w:t>
      </w:r>
      <w:r w:rsidRPr="006618B1">
        <w:rPr>
          <w:rFonts w:cs="Arial"/>
          <w:szCs w:val="24"/>
        </w:rPr>
        <w:t xml:space="preserve"> if the </w:t>
      </w:r>
      <w:r w:rsidR="005E086B">
        <w:rPr>
          <w:rFonts w:cs="Arial"/>
          <w:szCs w:val="24"/>
        </w:rPr>
        <w:t xml:space="preserve">petroleum </w:t>
      </w:r>
      <w:r w:rsidRPr="006618B1">
        <w:rPr>
          <w:rFonts w:cs="Arial"/>
          <w:szCs w:val="24"/>
        </w:rPr>
        <w:t xml:space="preserve">title was in force immediately before the proclamation of a Commonwealth </w:t>
      </w:r>
      <w:r>
        <w:rPr>
          <w:rFonts w:cs="Arial"/>
        </w:rPr>
        <w:t>m</w:t>
      </w:r>
      <w:r>
        <w:rPr>
          <w:rFonts w:cs="Arial"/>
          <w:szCs w:val="24"/>
        </w:rPr>
        <w:t xml:space="preserve">arine </w:t>
      </w:r>
      <w:r>
        <w:rPr>
          <w:rFonts w:cs="Arial"/>
        </w:rPr>
        <w:t>r</w:t>
      </w:r>
      <w:r w:rsidRPr="006618B1">
        <w:rPr>
          <w:rFonts w:cs="Arial"/>
          <w:szCs w:val="24"/>
        </w:rPr>
        <w:t>eserve that overlaps the title area</w:t>
      </w:r>
      <w:r>
        <w:rPr>
          <w:rFonts w:cs="Arial"/>
        </w:rPr>
        <w:t xml:space="preserve">. Each type of OPGGS Act title (e.g. </w:t>
      </w:r>
      <w:r w:rsidR="004729B0">
        <w:rPr>
          <w:rFonts w:cs="Arial"/>
        </w:rPr>
        <w:t xml:space="preserve">Petroleum </w:t>
      </w:r>
      <w:r>
        <w:rPr>
          <w:rFonts w:cs="Arial"/>
        </w:rPr>
        <w:t xml:space="preserve">Exploration Permit, Retention Lease, </w:t>
      </w:r>
      <w:proofErr w:type="gramStart"/>
      <w:r>
        <w:rPr>
          <w:rFonts w:cs="Arial"/>
        </w:rPr>
        <w:t>Production</w:t>
      </w:r>
      <w:proofErr w:type="gramEnd"/>
      <w:r>
        <w:rPr>
          <w:rFonts w:cs="Arial"/>
        </w:rPr>
        <w:t xml:space="preserve"> Licen</w:t>
      </w:r>
      <w:r w:rsidR="005E086B">
        <w:rPr>
          <w:rFonts w:cs="Arial"/>
        </w:rPr>
        <w:t>c</w:t>
      </w:r>
      <w:r>
        <w:rPr>
          <w:rFonts w:cs="Arial"/>
        </w:rPr>
        <w:t>e) is a separate usage right under the EPBC Act.</w:t>
      </w:r>
    </w:p>
    <w:p w:rsidR="001B25EE" w:rsidRPr="005549BB" w:rsidRDefault="001B25EE" w:rsidP="001B25EE">
      <w:pPr>
        <w:pStyle w:val="List2"/>
        <w:numPr>
          <w:ilvl w:val="0"/>
          <w:numId w:val="8"/>
        </w:numPr>
        <w:spacing w:after="120"/>
        <w:contextualSpacing w:val="0"/>
        <w:rPr>
          <w:rFonts w:cs="Arial"/>
        </w:rPr>
      </w:pPr>
      <w:r>
        <w:rPr>
          <w:rFonts w:cs="Arial"/>
          <w:szCs w:val="24"/>
        </w:rPr>
        <w:t xml:space="preserve">Petroleum titles may be </w:t>
      </w:r>
      <w:r w:rsidRPr="001409AB">
        <w:rPr>
          <w:rFonts w:cs="Arial"/>
          <w:szCs w:val="24"/>
        </w:rPr>
        <w:t>prior usage rights</w:t>
      </w:r>
      <w:r>
        <w:rPr>
          <w:rFonts w:cs="Arial"/>
          <w:szCs w:val="24"/>
        </w:rPr>
        <w:t xml:space="preserve"> in relation to the following Commonwealth marine reserve Proclamations:</w:t>
      </w:r>
    </w:p>
    <w:p w:rsidR="001B25EE" w:rsidRPr="005549BB" w:rsidRDefault="001B25EE" w:rsidP="00A9751D">
      <w:pPr>
        <w:pStyle w:val="List2"/>
        <w:numPr>
          <w:ilvl w:val="1"/>
          <w:numId w:val="8"/>
        </w:numPr>
        <w:spacing w:after="120"/>
        <w:ind w:left="851" w:hanging="425"/>
        <w:contextualSpacing w:val="0"/>
        <w:rPr>
          <w:rFonts w:cs="Arial"/>
        </w:rPr>
      </w:pPr>
      <w:r>
        <w:rPr>
          <w:rFonts w:cs="Arial"/>
          <w:szCs w:val="24"/>
        </w:rPr>
        <w:t>Proclamation of the South</w:t>
      </w:r>
      <w:r w:rsidR="001879A4">
        <w:rPr>
          <w:rFonts w:cs="Arial"/>
          <w:szCs w:val="24"/>
        </w:rPr>
        <w:t>-e</w:t>
      </w:r>
      <w:r>
        <w:rPr>
          <w:rFonts w:cs="Arial"/>
          <w:szCs w:val="24"/>
        </w:rPr>
        <w:t xml:space="preserve">ast Commonwealth Marine Reserve Network in </w:t>
      </w:r>
      <w:r w:rsidR="00D663CC">
        <w:rPr>
          <w:rFonts w:cs="Arial"/>
        </w:rPr>
        <w:t>June</w:t>
      </w:r>
      <w:r>
        <w:rPr>
          <w:rFonts w:cs="Arial"/>
        </w:rPr>
        <w:t xml:space="preserve"> </w:t>
      </w:r>
      <w:r>
        <w:rPr>
          <w:rFonts w:cs="Arial"/>
          <w:szCs w:val="24"/>
        </w:rPr>
        <w:t>2007; an</w:t>
      </w:r>
      <w:r>
        <w:rPr>
          <w:rFonts w:cs="Arial"/>
        </w:rPr>
        <w:t>d</w:t>
      </w:r>
    </w:p>
    <w:p w:rsidR="001B25EE" w:rsidRPr="005549BB" w:rsidRDefault="001B25EE" w:rsidP="00A9751D">
      <w:pPr>
        <w:pStyle w:val="List2"/>
        <w:numPr>
          <w:ilvl w:val="1"/>
          <w:numId w:val="8"/>
        </w:numPr>
        <w:spacing w:after="120"/>
        <w:ind w:left="851" w:hanging="425"/>
        <w:contextualSpacing w:val="0"/>
        <w:rPr>
          <w:rFonts w:cs="Arial"/>
        </w:rPr>
      </w:pPr>
      <w:r w:rsidRPr="00F221C6">
        <w:rPr>
          <w:rFonts w:cs="Arial"/>
          <w:szCs w:val="24"/>
        </w:rPr>
        <w:t>Proclamation of the South-west, North</w:t>
      </w:r>
      <w:r>
        <w:rPr>
          <w:rFonts w:cs="Arial"/>
          <w:szCs w:val="24"/>
        </w:rPr>
        <w:noBreakHyphen/>
      </w:r>
      <w:r w:rsidRPr="00F221C6">
        <w:rPr>
          <w:rFonts w:cs="Arial"/>
          <w:szCs w:val="24"/>
        </w:rPr>
        <w:t xml:space="preserve">west, North </w:t>
      </w:r>
      <w:r>
        <w:rPr>
          <w:rFonts w:cs="Arial"/>
          <w:szCs w:val="24"/>
        </w:rPr>
        <w:t xml:space="preserve">and </w:t>
      </w:r>
      <w:r w:rsidRPr="00F221C6">
        <w:rPr>
          <w:rFonts w:cs="Arial"/>
          <w:szCs w:val="24"/>
        </w:rPr>
        <w:t xml:space="preserve">Temperate East </w:t>
      </w:r>
      <w:r>
        <w:rPr>
          <w:rFonts w:cs="Arial"/>
          <w:szCs w:val="24"/>
        </w:rPr>
        <w:t xml:space="preserve">Commonwealth Marine Reserve Networks, </w:t>
      </w:r>
      <w:r w:rsidRPr="00F221C6">
        <w:rPr>
          <w:rFonts w:cs="Arial"/>
          <w:szCs w:val="24"/>
        </w:rPr>
        <w:t xml:space="preserve">and </w:t>
      </w:r>
      <w:r>
        <w:rPr>
          <w:rFonts w:cs="Arial"/>
          <w:szCs w:val="24"/>
        </w:rPr>
        <w:t xml:space="preserve">the </w:t>
      </w:r>
      <w:r w:rsidRPr="00F221C6">
        <w:rPr>
          <w:rFonts w:cs="Arial"/>
          <w:szCs w:val="24"/>
        </w:rPr>
        <w:t xml:space="preserve">Coral </w:t>
      </w:r>
      <w:r>
        <w:rPr>
          <w:rFonts w:cs="Arial"/>
          <w:szCs w:val="24"/>
        </w:rPr>
        <w:t xml:space="preserve">Commonwealth Marine Reserve, </w:t>
      </w:r>
      <w:r w:rsidRPr="00F221C6">
        <w:rPr>
          <w:rFonts w:cs="Arial"/>
          <w:szCs w:val="24"/>
        </w:rPr>
        <w:t>in December 2013</w:t>
      </w:r>
      <w:r>
        <w:rPr>
          <w:rFonts w:cs="Arial"/>
        </w:rPr>
        <w:t>.</w:t>
      </w:r>
    </w:p>
    <w:p w:rsidR="001B25EE" w:rsidRPr="005549BB" w:rsidRDefault="001B25EE" w:rsidP="001B25EE">
      <w:pPr>
        <w:pStyle w:val="List2"/>
        <w:numPr>
          <w:ilvl w:val="0"/>
          <w:numId w:val="8"/>
        </w:numPr>
        <w:spacing w:after="120"/>
        <w:contextualSpacing w:val="0"/>
        <w:rPr>
          <w:rFonts w:cs="Arial"/>
        </w:rPr>
      </w:pPr>
      <w:r>
        <w:rPr>
          <w:rFonts w:cs="Arial"/>
        </w:rPr>
        <w:t>Titles that are prior usage rights</w:t>
      </w:r>
      <w:r>
        <w:rPr>
          <w:rFonts w:cs="Arial"/>
          <w:szCs w:val="24"/>
        </w:rPr>
        <w:t xml:space="preserve"> are exempt from having to comply with provisions of the EPBC Act and </w:t>
      </w:r>
      <w:r w:rsidR="00D37ED0">
        <w:rPr>
          <w:rFonts w:cs="Arial"/>
          <w:szCs w:val="24"/>
        </w:rPr>
        <w:t xml:space="preserve">the </w:t>
      </w:r>
      <w:hyperlink r:id="rId14" w:history="1">
        <w:r w:rsidR="00D37ED0" w:rsidRPr="001553D1">
          <w:rPr>
            <w:rStyle w:val="Hyperlink"/>
            <w:rFonts w:cs="Arial"/>
            <w:i/>
            <w:szCs w:val="24"/>
          </w:rPr>
          <w:t>Environment Protection and Biodiversity Conservation</w:t>
        </w:r>
        <w:r w:rsidRPr="001553D1">
          <w:rPr>
            <w:rStyle w:val="Hyperlink"/>
            <w:rFonts w:cs="Arial"/>
            <w:i/>
            <w:szCs w:val="24"/>
          </w:rPr>
          <w:t xml:space="preserve"> </w:t>
        </w:r>
        <w:r w:rsidRPr="001553D1">
          <w:rPr>
            <w:rStyle w:val="Hyperlink"/>
            <w:i/>
          </w:rPr>
          <w:t xml:space="preserve">Regulations </w:t>
        </w:r>
        <w:r w:rsidR="00D37ED0" w:rsidRPr="001553D1">
          <w:rPr>
            <w:rStyle w:val="Hyperlink"/>
            <w:rFonts w:cs="Arial"/>
            <w:i/>
            <w:szCs w:val="24"/>
          </w:rPr>
          <w:t>2000</w:t>
        </w:r>
      </w:hyperlink>
      <w:r w:rsidR="00D37ED0">
        <w:rPr>
          <w:rFonts w:cs="Arial"/>
        </w:rPr>
        <w:t xml:space="preserve"> (the Regulations) </w:t>
      </w:r>
      <w:r>
        <w:rPr>
          <w:rFonts w:cs="Arial"/>
        </w:rPr>
        <w:t xml:space="preserve">that relate to a Commonwealth </w:t>
      </w:r>
      <w:r w:rsidR="003E788A">
        <w:rPr>
          <w:rFonts w:cs="Arial"/>
        </w:rPr>
        <w:t>m</w:t>
      </w:r>
      <w:r>
        <w:rPr>
          <w:rFonts w:cs="Arial"/>
        </w:rPr>
        <w:t xml:space="preserve">arine </w:t>
      </w:r>
      <w:r w:rsidR="003E788A">
        <w:rPr>
          <w:rFonts w:cs="Arial"/>
        </w:rPr>
        <w:t>r</w:t>
      </w:r>
      <w:r>
        <w:rPr>
          <w:rFonts w:cs="Arial"/>
          <w:szCs w:val="24"/>
        </w:rPr>
        <w:t xml:space="preserve">eserve, or the management plan for the reserve. All other provisions of the EPBC Act and </w:t>
      </w:r>
      <w:r w:rsidRPr="005549BB">
        <w:rPr>
          <w:rFonts w:cs="Arial"/>
          <w:szCs w:val="24"/>
        </w:rPr>
        <w:t xml:space="preserve">the OPGGS Act and </w:t>
      </w:r>
      <w:r w:rsidR="003E788A">
        <w:rPr>
          <w:rFonts w:cs="Arial"/>
          <w:szCs w:val="24"/>
        </w:rPr>
        <w:t xml:space="preserve">the </w:t>
      </w:r>
      <w:r>
        <w:rPr>
          <w:rFonts w:cs="Arial"/>
          <w:szCs w:val="24"/>
        </w:rPr>
        <w:t>R</w:t>
      </w:r>
      <w:r w:rsidRPr="005549BB">
        <w:rPr>
          <w:rFonts w:cs="Arial"/>
          <w:szCs w:val="24"/>
        </w:rPr>
        <w:t xml:space="preserve">egulations </w:t>
      </w:r>
      <w:r>
        <w:rPr>
          <w:rFonts w:cs="Arial"/>
          <w:szCs w:val="24"/>
        </w:rPr>
        <w:t>remain applicable</w:t>
      </w:r>
      <w:r>
        <w:rPr>
          <w:rFonts w:cs="Arial"/>
        </w:rPr>
        <w:t>.</w:t>
      </w:r>
    </w:p>
    <w:p w:rsidR="001B25EE" w:rsidRDefault="001B25EE" w:rsidP="001B25EE">
      <w:pPr>
        <w:pStyle w:val="List2"/>
        <w:numPr>
          <w:ilvl w:val="0"/>
          <w:numId w:val="8"/>
        </w:numPr>
        <w:spacing w:after="120"/>
        <w:contextualSpacing w:val="0"/>
        <w:rPr>
          <w:rFonts w:cs="Arial"/>
        </w:rPr>
      </w:pPr>
      <w:r>
        <w:rPr>
          <w:rFonts w:cs="Arial"/>
          <w:szCs w:val="24"/>
        </w:rPr>
        <w:t>S</w:t>
      </w:r>
      <w:r w:rsidR="003E788A">
        <w:rPr>
          <w:rFonts w:cs="Arial"/>
          <w:szCs w:val="24"/>
        </w:rPr>
        <w:t>ubs</w:t>
      </w:r>
      <w:r>
        <w:rPr>
          <w:rFonts w:cs="Arial"/>
          <w:szCs w:val="24"/>
        </w:rPr>
        <w:t xml:space="preserve">ection 359(3) of the EPBC Act provides </w:t>
      </w:r>
      <w:r>
        <w:rPr>
          <w:rFonts w:cs="Arial"/>
        </w:rPr>
        <w:t xml:space="preserve">that </w:t>
      </w:r>
      <w:r>
        <w:rPr>
          <w:rFonts w:cs="Arial"/>
          <w:szCs w:val="24"/>
        </w:rPr>
        <w:t xml:space="preserve">a </w:t>
      </w:r>
      <w:r>
        <w:rPr>
          <w:rFonts w:cs="Arial"/>
        </w:rPr>
        <w:t xml:space="preserve">prior </w:t>
      </w:r>
      <w:r>
        <w:rPr>
          <w:rFonts w:cs="Arial"/>
          <w:szCs w:val="24"/>
        </w:rPr>
        <w:t>usage right may be renewed, or have its term extended, only with the Minister for the Environment’s written consent, and subject to any conditions determined by the Minister</w:t>
      </w:r>
      <w:r>
        <w:rPr>
          <w:rFonts w:cs="Arial"/>
        </w:rPr>
        <w:t>.</w:t>
      </w:r>
    </w:p>
    <w:p w:rsidR="005E086B" w:rsidRPr="005E086B" w:rsidRDefault="005E086B" w:rsidP="005E086B">
      <w:pPr>
        <w:pStyle w:val="List2"/>
        <w:numPr>
          <w:ilvl w:val="0"/>
          <w:numId w:val="8"/>
        </w:numPr>
        <w:spacing w:after="120"/>
        <w:contextualSpacing w:val="0"/>
        <w:rPr>
          <w:rFonts w:cs="Arial"/>
        </w:rPr>
      </w:pPr>
      <w:r>
        <w:rPr>
          <w:rFonts w:cs="Arial"/>
        </w:rPr>
        <w:t>For the purposes of this guideline, a ‘renewal’ means an application made under section</w:t>
      </w:r>
      <w:r w:rsidR="003E788A">
        <w:rPr>
          <w:rFonts w:cs="Arial"/>
        </w:rPr>
        <w:t> </w:t>
      </w:r>
      <w:r>
        <w:rPr>
          <w:rFonts w:cs="Arial"/>
        </w:rPr>
        <w:t>119 or 153 of the OPGGS Act. An ‘extension’ means an application made under section</w:t>
      </w:r>
      <w:r w:rsidR="003E788A">
        <w:rPr>
          <w:rFonts w:cs="Arial"/>
        </w:rPr>
        <w:t> </w:t>
      </w:r>
      <w:r>
        <w:rPr>
          <w:rFonts w:cs="Arial"/>
        </w:rPr>
        <w:t xml:space="preserve">265 of the OPGGS Act.   </w:t>
      </w:r>
    </w:p>
    <w:p w:rsidR="001B25EE" w:rsidRPr="0039570E" w:rsidRDefault="001B25EE" w:rsidP="00366B1E">
      <w:pPr>
        <w:pStyle w:val="Heading1"/>
        <w:keepNext w:val="0"/>
        <w:numPr>
          <w:ilvl w:val="0"/>
          <w:numId w:val="7"/>
        </w:numPr>
        <w:spacing w:before="480"/>
        <w:ind w:left="357" w:hanging="357"/>
        <w:contextualSpacing/>
      </w:pPr>
      <w:bookmarkStart w:id="10" w:name="_Toc448316991"/>
      <w:r w:rsidRPr="00F121BA">
        <w:t>Seeking consent under EPBC s 359(3</w:t>
      </w:r>
      <w:r>
        <w:t>)</w:t>
      </w:r>
      <w:bookmarkEnd w:id="10"/>
    </w:p>
    <w:p w:rsidR="001B25EE" w:rsidRDefault="001B25EE" w:rsidP="001B25EE">
      <w:pPr>
        <w:pStyle w:val="Heading2"/>
      </w:pPr>
      <w:bookmarkStart w:id="11" w:name="_Toc448316992"/>
      <w:r>
        <w:t>Overview</w:t>
      </w:r>
      <w:bookmarkEnd w:id="11"/>
    </w:p>
    <w:p w:rsidR="001B25EE" w:rsidRDefault="001B25EE" w:rsidP="001B25EE">
      <w:pPr>
        <w:pStyle w:val="List2"/>
        <w:numPr>
          <w:ilvl w:val="0"/>
          <w:numId w:val="9"/>
        </w:numPr>
        <w:spacing w:after="120"/>
        <w:contextualSpacing w:val="0"/>
        <w:rPr>
          <w:rFonts w:cs="Arial"/>
        </w:rPr>
      </w:pPr>
      <w:r>
        <w:rPr>
          <w:rFonts w:cs="Arial"/>
        </w:rPr>
        <w:t xml:space="preserve">A prior usage right titleholder </w:t>
      </w:r>
      <w:r w:rsidR="00F81778">
        <w:rPr>
          <w:rFonts w:cs="Arial"/>
        </w:rPr>
        <w:t xml:space="preserve">can </w:t>
      </w:r>
      <w:r>
        <w:rPr>
          <w:rFonts w:cs="Arial"/>
        </w:rPr>
        <w:t>apply to the Minister for the Environment (or the</w:t>
      </w:r>
      <w:r w:rsidR="003E788A">
        <w:rPr>
          <w:rFonts w:cs="Arial"/>
        </w:rPr>
        <w:t xml:space="preserve"> Minister’s</w:t>
      </w:r>
      <w:r>
        <w:rPr>
          <w:rFonts w:cs="Arial"/>
        </w:rPr>
        <w:t xml:space="preserve"> delegate) for consent to renew or </w:t>
      </w:r>
      <w:r w:rsidR="004729B0">
        <w:rPr>
          <w:rFonts w:cs="Arial"/>
        </w:rPr>
        <w:t xml:space="preserve">extend the </w:t>
      </w:r>
      <w:r w:rsidR="005E086B">
        <w:rPr>
          <w:rFonts w:cs="Arial"/>
        </w:rPr>
        <w:t>title</w:t>
      </w:r>
      <w:r w:rsidR="004729B0">
        <w:rPr>
          <w:rFonts w:cs="Arial"/>
        </w:rPr>
        <w:t xml:space="preserve"> term </w:t>
      </w:r>
      <w:r>
        <w:rPr>
          <w:rFonts w:cs="Arial"/>
        </w:rPr>
        <w:t xml:space="preserve">at the same time as applying to NOPTA. Note: Consent of the Minister </w:t>
      </w:r>
      <w:r w:rsidR="004729B0">
        <w:rPr>
          <w:rFonts w:cs="Arial"/>
        </w:rPr>
        <w:t xml:space="preserve">for the Environment </w:t>
      </w:r>
      <w:r>
        <w:rPr>
          <w:rFonts w:cs="Arial"/>
        </w:rPr>
        <w:t xml:space="preserve">is not required under the EPBC Act for suspension </w:t>
      </w:r>
      <w:r w:rsidR="005F237F">
        <w:rPr>
          <w:rFonts w:cs="Arial"/>
        </w:rPr>
        <w:t xml:space="preserve">or variation </w:t>
      </w:r>
      <w:r>
        <w:rPr>
          <w:rFonts w:cs="Arial"/>
        </w:rPr>
        <w:t>of title conditions, exemption</w:t>
      </w:r>
      <w:r w:rsidR="005F237F">
        <w:rPr>
          <w:rFonts w:cs="Arial"/>
        </w:rPr>
        <w:t xml:space="preserve"> from the requirement to comply with any of the title condition</w:t>
      </w:r>
      <w:r>
        <w:rPr>
          <w:rFonts w:cs="Arial"/>
        </w:rPr>
        <w:t>s or surrender</w:t>
      </w:r>
      <w:r w:rsidR="005E086B">
        <w:rPr>
          <w:rFonts w:cs="Arial"/>
        </w:rPr>
        <w:t xml:space="preserve"> </w:t>
      </w:r>
      <w:r w:rsidR="005F237F">
        <w:rPr>
          <w:rFonts w:cs="Arial"/>
        </w:rPr>
        <w:t xml:space="preserve">of the title </w:t>
      </w:r>
      <w:r w:rsidR="005E086B">
        <w:rPr>
          <w:rFonts w:cs="Arial"/>
        </w:rPr>
        <w:t>under the OPGGS Act</w:t>
      </w:r>
      <w:r>
        <w:rPr>
          <w:rFonts w:cs="Arial"/>
        </w:rPr>
        <w:t>.</w:t>
      </w:r>
    </w:p>
    <w:p w:rsidR="001B25EE" w:rsidRDefault="001B25EE" w:rsidP="001B25EE">
      <w:pPr>
        <w:pStyle w:val="List2"/>
        <w:numPr>
          <w:ilvl w:val="0"/>
          <w:numId w:val="9"/>
        </w:numPr>
        <w:spacing w:after="120"/>
        <w:contextualSpacing w:val="0"/>
        <w:rPr>
          <w:rFonts w:cs="Arial"/>
        </w:rPr>
      </w:pPr>
      <w:r>
        <w:rPr>
          <w:rFonts w:cs="Arial"/>
        </w:rPr>
        <w:t xml:space="preserve">The guidance in this section should be read in association with sections 2 and 3 of the </w:t>
      </w:r>
      <w:r w:rsidR="00592FFB">
        <w:rPr>
          <w:rFonts w:cs="Arial"/>
        </w:rPr>
        <w:t>‘</w:t>
      </w:r>
      <w:r w:rsidRPr="000E0ABD">
        <w:rPr>
          <w:rFonts w:cs="Arial"/>
        </w:rPr>
        <w:t>Offshore Petroleum Exploration Guideline: Work-bid</w:t>
      </w:r>
      <w:r w:rsidR="00592FFB">
        <w:rPr>
          <w:rFonts w:cs="Arial"/>
        </w:rPr>
        <w:t>’</w:t>
      </w:r>
      <w:r>
        <w:rPr>
          <w:rFonts w:cs="Arial"/>
        </w:rPr>
        <w:t xml:space="preserve">. </w:t>
      </w:r>
    </w:p>
    <w:p w:rsidR="001B25EE" w:rsidRDefault="003E788A" w:rsidP="001B25EE">
      <w:pPr>
        <w:pStyle w:val="List2"/>
        <w:numPr>
          <w:ilvl w:val="0"/>
          <w:numId w:val="9"/>
        </w:numPr>
        <w:spacing w:after="120"/>
        <w:contextualSpacing w:val="0"/>
        <w:rPr>
          <w:rFonts w:cs="Arial"/>
        </w:rPr>
      </w:pPr>
      <w:r>
        <w:rPr>
          <w:rFonts w:cs="Arial"/>
        </w:rPr>
        <w:t xml:space="preserve">After the </w:t>
      </w:r>
      <w:r w:rsidR="001B25EE">
        <w:rPr>
          <w:rFonts w:cs="Arial"/>
        </w:rPr>
        <w:t>consent of the Minister for the Environment</w:t>
      </w:r>
      <w:r>
        <w:rPr>
          <w:rFonts w:cs="Arial"/>
        </w:rPr>
        <w:t xml:space="preserve"> is obtained</w:t>
      </w:r>
      <w:r w:rsidR="001B25EE">
        <w:rPr>
          <w:rFonts w:cs="Arial"/>
        </w:rPr>
        <w:t xml:space="preserve">, the </w:t>
      </w:r>
      <w:r w:rsidR="005E086B">
        <w:rPr>
          <w:rFonts w:cs="Arial"/>
        </w:rPr>
        <w:t xml:space="preserve">relevant Offshore Petroleum </w:t>
      </w:r>
      <w:r w:rsidR="001B25EE">
        <w:rPr>
          <w:rFonts w:cs="Arial"/>
        </w:rPr>
        <w:t>Joint Authority can make its decision</w:t>
      </w:r>
      <w:r w:rsidR="005E086B">
        <w:rPr>
          <w:rFonts w:cs="Arial"/>
        </w:rPr>
        <w:t xml:space="preserve"> under the OPGGS Act</w:t>
      </w:r>
      <w:r w:rsidR="001B25EE">
        <w:rPr>
          <w:rFonts w:cs="Arial"/>
        </w:rPr>
        <w:t xml:space="preserve">. </w:t>
      </w:r>
    </w:p>
    <w:p w:rsidR="001B25EE" w:rsidRPr="00E94313" w:rsidRDefault="001B25EE" w:rsidP="001B25EE">
      <w:pPr>
        <w:pStyle w:val="List2"/>
        <w:numPr>
          <w:ilvl w:val="0"/>
          <w:numId w:val="9"/>
        </w:numPr>
        <w:spacing w:after="120"/>
        <w:contextualSpacing w:val="0"/>
        <w:rPr>
          <w:rFonts w:cs="Arial"/>
        </w:rPr>
      </w:pPr>
      <w:r w:rsidRPr="00E94313">
        <w:rPr>
          <w:rFonts w:cs="Arial"/>
        </w:rPr>
        <w:t xml:space="preserve">The EPBC Act provides </w:t>
      </w:r>
      <w:r>
        <w:rPr>
          <w:rFonts w:cs="Arial"/>
        </w:rPr>
        <w:t xml:space="preserve">that </w:t>
      </w:r>
      <w:r w:rsidRPr="00E94313">
        <w:rPr>
          <w:rFonts w:cs="Arial"/>
        </w:rPr>
        <w:t xml:space="preserve">the Minister for the Environment </w:t>
      </w:r>
      <w:r>
        <w:rPr>
          <w:rFonts w:cs="Arial"/>
        </w:rPr>
        <w:t xml:space="preserve">may </w:t>
      </w:r>
      <w:r w:rsidRPr="00E94313">
        <w:rPr>
          <w:rFonts w:cs="Arial"/>
        </w:rPr>
        <w:t>impose conditions as part of the consent to renew or extend the term of the title.</w:t>
      </w:r>
    </w:p>
    <w:p w:rsidR="001B25EE" w:rsidRDefault="001B25EE" w:rsidP="001B25EE">
      <w:pPr>
        <w:pStyle w:val="List2"/>
        <w:numPr>
          <w:ilvl w:val="0"/>
          <w:numId w:val="9"/>
        </w:numPr>
        <w:spacing w:after="120"/>
        <w:contextualSpacing w:val="0"/>
        <w:rPr>
          <w:rFonts w:cs="Arial"/>
        </w:rPr>
      </w:pPr>
      <w:r w:rsidRPr="00E94313">
        <w:rPr>
          <w:rFonts w:cs="Arial"/>
        </w:rPr>
        <w:lastRenderedPageBreak/>
        <w:t xml:space="preserve">A </w:t>
      </w:r>
      <w:r>
        <w:rPr>
          <w:rFonts w:cs="Arial"/>
        </w:rPr>
        <w:t>diagram</w:t>
      </w:r>
      <w:r w:rsidRPr="00E94313">
        <w:rPr>
          <w:rFonts w:cs="Arial"/>
        </w:rPr>
        <w:t xml:space="preserve"> depicting the process is available at </w:t>
      </w:r>
      <w:r w:rsidRPr="00E94313">
        <w:rPr>
          <w:rFonts w:cs="Arial"/>
          <w:b/>
        </w:rPr>
        <w:t>Appendix A</w:t>
      </w:r>
      <w:r w:rsidRPr="00E94313">
        <w:rPr>
          <w:rFonts w:cs="Arial"/>
        </w:rPr>
        <w:t>.</w:t>
      </w:r>
    </w:p>
    <w:p w:rsidR="00156ADE" w:rsidRDefault="00156ADE" w:rsidP="001B25EE">
      <w:pPr>
        <w:pStyle w:val="List2"/>
        <w:numPr>
          <w:ilvl w:val="0"/>
          <w:numId w:val="9"/>
        </w:numPr>
        <w:spacing w:after="120"/>
        <w:contextualSpacing w:val="0"/>
        <w:rPr>
          <w:rFonts w:cs="Arial"/>
        </w:rPr>
      </w:pPr>
      <w:r>
        <w:rPr>
          <w:rFonts w:cs="Arial"/>
        </w:rPr>
        <w:t xml:space="preserve">It is expected that a response </w:t>
      </w:r>
      <w:r w:rsidR="005F237F">
        <w:rPr>
          <w:rFonts w:cs="Arial"/>
        </w:rPr>
        <w:t xml:space="preserve">to </w:t>
      </w:r>
      <w:r>
        <w:rPr>
          <w:rFonts w:cs="Arial"/>
        </w:rPr>
        <w:t xml:space="preserve">the consent application will </w:t>
      </w:r>
      <w:r w:rsidR="00B95369">
        <w:rPr>
          <w:rFonts w:cs="Arial"/>
        </w:rPr>
        <w:t>generally</w:t>
      </w:r>
      <w:r>
        <w:rPr>
          <w:rFonts w:cs="Arial"/>
        </w:rPr>
        <w:t xml:space="preserve"> be provided within four</w:t>
      </w:r>
      <w:r w:rsidR="001047DE">
        <w:rPr>
          <w:rFonts w:cs="Arial"/>
        </w:rPr>
        <w:t xml:space="preserve"> </w:t>
      </w:r>
      <w:r>
        <w:rPr>
          <w:rFonts w:cs="Arial"/>
        </w:rPr>
        <w:t>weeks of receiving a complete application.</w:t>
      </w:r>
    </w:p>
    <w:p w:rsidR="00F536BD" w:rsidRDefault="00F536BD" w:rsidP="001B25EE">
      <w:pPr>
        <w:pStyle w:val="List2"/>
        <w:numPr>
          <w:ilvl w:val="0"/>
          <w:numId w:val="9"/>
        </w:numPr>
        <w:spacing w:after="120"/>
        <w:contextualSpacing w:val="0"/>
        <w:rPr>
          <w:rFonts w:cs="Arial"/>
        </w:rPr>
      </w:pPr>
      <w:r>
        <w:rPr>
          <w:rFonts w:cs="Arial"/>
        </w:rPr>
        <w:t>The process for seeking consent can be carried on concurrently with the relevant Joint Authority’s consideration of an application</w:t>
      </w:r>
      <w:r w:rsidR="005F237F">
        <w:rPr>
          <w:rFonts w:cs="Arial"/>
        </w:rPr>
        <w:t>. Obtaining consent</w:t>
      </w:r>
      <w:r>
        <w:rPr>
          <w:rFonts w:cs="Arial"/>
        </w:rPr>
        <w:t xml:space="preserve"> is not expect</w:t>
      </w:r>
      <w:r w:rsidR="00156ADE">
        <w:rPr>
          <w:rFonts w:cs="Arial"/>
        </w:rPr>
        <w:t>ed</w:t>
      </w:r>
      <w:r>
        <w:rPr>
          <w:rFonts w:cs="Arial"/>
        </w:rPr>
        <w:t xml:space="preserve"> to </w:t>
      </w:r>
      <w:r w:rsidR="00156ADE">
        <w:rPr>
          <w:rFonts w:cs="Arial"/>
        </w:rPr>
        <w:t xml:space="preserve">increase the </w:t>
      </w:r>
      <w:r>
        <w:rPr>
          <w:rFonts w:cs="Arial"/>
        </w:rPr>
        <w:t>timeframes</w:t>
      </w:r>
      <w:r w:rsidR="00156ADE">
        <w:rPr>
          <w:rFonts w:cs="Arial"/>
        </w:rPr>
        <w:t xml:space="preserve"> for decision making as outlined in the </w:t>
      </w:r>
      <w:r w:rsidR="007414A2">
        <w:rPr>
          <w:rFonts w:cs="Arial"/>
        </w:rPr>
        <w:t>‘</w:t>
      </w:r>
      <w:r w:rsidR="00156ADE">
        <w:rPr>
          <w:rFonts w:cs="Arial"/>
        </w:rPr>
        <w:t>Operating Protocols for Offshore Petroleum Joint Authorities and Supporting Institutions</w:t>
      </w:r>
      <w:r w:rsidR="007414A2">
        <w:rPr>
          <w:rFonts w:cs="Arial"/>
        </w:rPr>
        <w:t>’</w:t>
      </w:r>
      <w:r w:rsidR="00156ADE">
        <w:rPr>
          <w:rFonts w:cs="Arial"/>
        </w:rPr>
        <w:t>.</w:t>
      </w:r>
      <w:r>
        <w:rPr>
          <w:rFonts w:cs="Arial"/>
        </w:rPr>
        <w:t xml:space="preserve"> </w:t>
      </w:r>
    </w:p>
    <w:p w:rsidR="001B25EE" w:rsidRDefault="001B25EE" w:rsidP="00A51657">
      <w:pPr>
        <w:pStyle w:val="Heading2"/>
        <w:spacing w:before="240"/>
      </w:pPr>
      <w:bookmarkStart w:id="12" w:name="_Toc448316993"/>
      <w:r>
        <w:t>How to apply</w:t>
      </w:r>
      <w:bookmarkEnd w:id="12"/>
    </w:p>
    <w:p w:rsidR="001B25EE" w:rsidRDefault="001B25EE" w:rsidP="001B25EE">
      <w:pPr>
        <w:pStyle w:val="List2"/>
        <w:numPr>
          <w:ilvl w:val="1"/>
          <w:numId w:val="7"/>
        </w:numPr>
        <w:spacing w:after="120"/>
        <w:ind w:left="709" w:hanging="567"/>
        <w:contextualSpacing w:val="0"/>
        <w:rPr>
          <w:rFonts w:cs="Arial"/>
        </w:rPr>
      </w:pPr>
      <w:r>
        <w:rPr>
          <w:rFonts w:cs="Arial"/>
        </w:rPr>
        <w:t>A</w:t>
      </w:r>
      <w:r w:rsidRPr="00E94313">
        <w:rPr>
          <w:rFonts w:cs="Arial"/>
        </w:rPr>
        <w:t xml:space="preserve">n application form is available online at </w:t>
      </w:r>
      <w:bookmarkStart w:id="13" w:name="_GoBack"/>
      <w:r w:rsidRPr="000E0ABD">
        <w:rPr>
          <w:rFonts w:cs="Arial"/>
        </w:rPr>
        <w:t>NOPTA’s website</w:t>
      </w:r>
      <w:bookmarkEnd w:id="13"/>
      <w:r>
        <w:rPr>
          <w:rFonts w:cs="Arial"/>
        </w:rPr>
        <w:t xml:space="preserve"> </w:t>
      </w:r>
      <w:r w:rsidRPr="00397B60">
        <w:rPr>
          <w:rFonts w:cs="Arial"/>
        </w:rPr>
        <w:t xml:space="preserve">and the </w:t>
      </w:r>
      <w:r w:rsidRPr="000E0ABD">
        <w:rPr>
          <w:rFonts w:cs="Arial"/>
        </w:rPr>
        <w:t>Department of the Environment</w:t>
      </w:r>
      <w:r>
        <w:rPr>
          <w:rFonts w:cs="Arial"/>
        </w:rPr>
        <w:t xml:space="preserve"> </w:t>
      </w:r>
      <w:r w:rsidRPr="00397B60">
        <w:rPr>
          <w:rFonts w:cs="Arial"/>
        </w:rPr>
        <w:t>website.</w:t>
      </w:r>
      <w:r>
        <w:rPr>
          <w:rFonts w:cs="Arial"/>
        </w:rPr>
        <w:t xml:space="preserve"> </w:t>
      </w:r>
    </w:p>
    <w:p w:rsidR="001B25EE" w:rsidRPr="00E80D3C" w:rsidRDefault="001B25EE" w:rsidP="00E80D3C">
      <w:pPr>
        <w:pStyle w:val="List2"/>
        <w:numPr>
          <w:ilvl w:val="1"/>
          <w:numId w:val="7"/>
        </w:numPr>
        <w:spacing w:after="120"/>
        <w:ind w:left="709" w:hanging="567"/>
        <w:contextualSpacing w:val="0"/>
        <w:rPr>
          <w:rFonts w:cs="Arial"/>
        </w:rPr>
      </w:pPr>
      <w:r>
        <w:rPr>
          <w:rFonts w:cs="Arial"/>
        </w:rPr>
        <w:t xml:space="preserve">The application </w:t>
      </w:r>
      <w:r w:rsidRPr="00E94313">
        <w:rPr>
          <w:rFonts w:cs="Arial"/>
        </w:rPr>
        <w:t xml:space="preserve">should be submitted to the </w:t>
      </w:r>
      <w:r>
        <w:rPr>
          <w:rFonts w:cs="Arial"/>
        </w:rPr>
        <w:t xml:space="preserve">Director of National Parks (Parks Australia) </w:t>
      </w:r>
      <w:r w:rsidRPr="00E94313">
        <w:rPr>
          <w:rFonts w:cs="Arial"/>
        </w:rPr>
        <w:t xml:space="preserve">at </w:t>
      </w:r>
      <w:hyperlink r:id="rId15" w:history="1">
        <w:r w:rsidR="00E80D3C" w:rsidRPr="00B64279">
          <w:rPr>
            <w:rStyle w:val="Hyperlink"/>
            <w:rFonts w:cs="Arial"/>
          </w:rPr>
          <w:t>MarineReserves@environment.gov.au</w:t>
        </w:r>
      </w:hyperlink>
      <w:r w:rsidR="00E80D3C">
        <w:rPr>
          <w:rFonts w:cs="Arial"/>
        </w:rPr>
        <w:t xml:space="preserve"> </w:t>
      </w:r>
      <w:r w:rsidRPr="00E80D3C">
        <w:rPr>
          <w:rFonts w:cs="Arial"/>
        </w:rPr>
        <w:t xml:space="preserve">and copied to NOPTA at </w:t>
      </w:r>
      <w:hyperlink r:id="rId16" w:history="1">
        <w:r w:rsidR="00E80D3C" w:rsidRPr="00B64279">
          <w:rPr>
            <w:rStyle w:val="Hyperlink"/>
            <w:rFonts w:cs="Arial"/>
          </w:rPr>
          <w:t>titles@nopta.gov.au</w:t>
        </w:r>
      </w:hyperlink>
      <w:r w:rsidR="00E80D3C">
        <w:rPr>
          <w:rFonts w:cs="Arial"/>
        </w:rPr>
        <w:t xml:space="preserve"> </w:t>
      </w:r>
    </w:p>
    <w:p w:rsidR="001B25EE" w:rsidRDefault="001B25EE" w:rsidP="001B25EE">
      <w:pPr>
        <w:pStyle w:val="List2"/>
        <w:numPr>
          <w:ilvl w:val="1"/>
          <w:numId w:val="7"/>
        </w:numPr>
        <w:spacing w:after="120"/>
        <w:ind w:left="709" w:hanging="567"/>
        <w:contextualSpacing w:val="0"/>
        <w:rPr>
          <w:rFonts w:cs="Arial"/>
        </w:rPr>
      </w:pPr>
      <w:r>
        <w:rPr>
          <w:rFonts w:cs="Arial"/>
        </w:rPr>
        <w:t>Applications are assessed by Parks Australia as the management authority and delegate to the Minister for the Environment for Commonwealth marine reserves.</w:t>
      </w:r>
    </w:p>
    <w:p w:rsidR="001B25EE" w:rsidRDefault="001B25EE" w:rsidP="001B25EE">
      <w:pPr>
        <w:pStyle w:val="List2"/>
        <w:numPr>
          <w:ilvl w:val="1"/>
          <w:numId w:val="7"/>
        </w:numPr>
        <w:spacing w:after="120"/>
        <w:ind w:left="709" w:hanging="567"/>
        <w:contextualSpacing w:val="0"/>
        <w:rPr>
          <w:rFonts w:cs="Arial"/>
        </w:rPr>
      </w:pPr>
      <w:r>
        <w:rPr>
          <w:rFonts w:cs="Arial"/>
        </w:rPr>
        <w:t>Parks Australia may clarify any aspect of the application through a written request for further information to the applicant.</w:t>
      </w:r>
    </w:p>
    <w:p w:rsidR="001B25EE" w:rsidRDefault="001B25EE" w:rsidP="00A51657">
      <w:pPr>
        <w:pStyle w:val="Heading2"/>
        <w:spacing w:before="240"/>
      </w:pPr>
      <w:bookmarkStart w:id="14" w:name="_Toc448316994"/>
      <w:r>
        <w:t>Criteria for assessment</w:t>
      </w:r>
      <w:bookmarkEnd w:id="14"/>
    </w:p>
    <w:p w:rsidR="001B25EE" w:rsidRDefault="001B25EE" w:rsidP="001B25EE">
      <w:pPr>
        <w:pStyle w:val="List2"/>
        <w:numPr>
          <w:ilvl w:val="1"/>
          <w:numId w:val="7"/>
        </w:numPr>
        <w:spacing w:after="120"/>
        <w:ind w:left="709" w:hanging="567"/>
        <w:contextualSpacing w:val="0"/>
        <w:rPr>
          <w:rFonts w:cs="Arial"/>
        </w:rPr>
      </w:pPr>
      <w:r>
        <w:rPr>
          <w:rFonts w:cs="Arial"/>
          <w:bCs/>
        </w:rPr>
        <w:t>The EPBC Act does not specify the matters that may be taken into account by the Minister for the Environment, but matters considered relevant will include</w:t>
      </w:r>
      <w:r>
        <w:rPr>
          <w:rFonts w:cs="Arial"/>
        </w:rPr>
        <w:t>:</w:t>
      </w:r>
    </w:p>
    <w:p w:rsidR="001B25EE" w:rsidRPr="002B5D3C" w:rsidRDefault="00B95369" w:rsidP="001B25EE">
      <w:pPr>
        <w:pStyle w:val="List2"/>
        <w:numPr>
          <w:ilvl w:val="2"/>
          <w:numId w:val="7"/>
        </w:numPr>
        <w:spacing w:after="120"/>
        <w:ind w:hanging="373"/>
        <w:contextualSpacing w:val="0"/>
        <w:rPr>
          <w:rFonts w:cs="Arial"/>
          <w:bCs/>
        </w:rPr>
      </w:pPr>
      <w:r>
        <w:rPr>
          <w:rFonts w:cs="Arial"/>
          <w:bCs/>
        </w:rPr>
        <w:t>That</w:t>
      </w:r>
      <w:r w:rsidR="001B25EE" w:rsidRPr="002B5D3C">
        <w:rPr>
          <w:rFonts w:cs="Arial"/>
          <w:bCs/>
        </w:rPr>
        <w:t xml:space="preserve"> all prior usage right titles are in zones which allow oil and gas activities.</w:t>
      </w:r>
      <w:r w:rsidR="000D1D88">
        <w:rPr>
          <w:rFonts w:cs="Arial"/>
          <w:bCs/>
        </w:rPr>
        <w:t xml:space="preserve"> </w:t>
      </w:r>
    </w:p>
    <w:p w:rsidR="001B25EE" w:rsidRPr="002B5D3C" w:rsidRDefault="001B25EE" w:rsidP="001B25EE">
      <w:pPr>
        <w:pStyle w:val="List2"/>
        <w:numPr>
          <w:ilvl w:val="2"/>
          <w:numId w:val="7"/>
        </w:numPr>
        <w:spacing w:after="120"/>
        <w:ind w:hanging="373"/>
        <w:contextualSpacing w:val="0"/>
        <w:rPr>
          <w:rFonts w:cs="Arial"/>
          <w:bCs/>
        </w:rPr>
      </w:pPr>
      <w:r w:rsidRPr="002B5D3C">
        <w:rPr>
          <w:rFonts w:cs="Arial"/>
          <w:bCs/>
        </w:rPr>
        <w:t>The past performance of the applicant in relation to environmental incidents within Australia</w:t>
      </w:r>
      <w:r>
        <w:rPr>
          <w:rFonts w:cs="Arial"/>
          <w:bCs/>
        </w:rPr>
        <w:t xml:space="preserve">; and </w:t>
      </w:r>
    </w:p>
    <w:p w:rsidR="001B25EE" w:rsidRDefault="001B25EE" w:rsidP="001B25EE">
      <w:pPr>
        <w:pStyle w:val="List2"/>
        <w:numPr>
          <w:ilvl w:val="2"/>
          <w:numId w:val="7"/>
        </w:numPr>
        <w:spacing w:after="120"/>
        <w:ind w:hanging="373"/>
        <w:contextualSpacing w:val="0"/>
        <w:rPr>
          <w:rFonts w:cs="Arial"/>
          <w:bCs/>
        </w:rPr>
      </w:pPr>
      <w:r w:rsidRPr="002B5D3C">
        <w:rPr>
          <w:rFonts w:cs="Arial"/>
          <w:bCs/>
        </w:rPr>
        <w:t>Activities allowed under the OPGGS Act for the title</w:t>
      </w:r>
      <w:r>
        <w:rPr>
          <w:rFonts w:cs="Arial"/>
          <w:bCs/>
        </w:rPr>
        <w:t>.</w:t>
      </w:r>
    </w:p>
    <w:p w:rsidR="001B25EE" w:rsidRDefault="001B25EE" w:rsidP="00A9751D">
      <w:pPr>
        <w:pStyle w:val="List2"/>
        <w:ind w:left="142" w:firstLine="0"/>
        <w:rPr>
          <w:rFonts w:cs="Arial"/>
          <w:bCs/>
        </w:rPr>
      </w:pPr>
      <w:r>
        <w:rPr>
          <w:rFonts w:cs="Arial"/>
          <w:bCs/>
        </w:rPr>
        <w:t xml:space="preserve">Note: </w:t>
      </w:r>
      <w:r w:rsidR="007C2750" w:rsidRPr="007C2750">
        <w:rPr>
          <w:rFonts w:cs="Arial"/>
          <w:bCs/>
        </w:rPr>
        <w:t xml:space="preserve">Information </w:t>
      </w:r>
      <w:r w:rsidR="007C2750">
        <w:rPr>
          <w:rFonts w:cs="Arial"/>
          <w:bCs/>
        </w:rPr>
        <w:t xml:space="preserve">required on the application form </w:t>
      </w:r>
      <w:r w:rsidR="007C2750" w:rsidRPr="007C2750">
        <w:rPr>
          <w:rFonts w:cs="Arial"/>
          <w:bCs/>
        </w:rPr>
        <w:t xml:space="preserve">concerning activities </w:t>
      </w:r>
      <w:r w:rsidR="007C2750">
        <w:rPr>
          <w:rFonts w:cs="Arial"/>
          <w:bCs/>
        </w:rPr>
        <w:t xml:space="preserve">which the titleholder currently expects to be undertaken during the renewal or extension period </w:t>
      </w:r>
      <w:r w:rsidR="007C2750" w:rsidRPr="007C2750">
        <w:rPr>
          <w:rFonts w:cs="Arial"/>
          <w:bCs/>
        </w:rPr>
        <w:t>will provide context to inform the decision</w:t>
      </w:r>
      <w:r w:rsidR="007C2750">
        <w:rPr>
          <w:rFonts w:cs="Arial"/>
          <w:bCs/>
        </w:rPr>
        <w:t xml:space="preserve"> of the Minister for the Environment</w:t>
      </w:r>
      <w:r w:rsidR="007C2750" w:rsidRPr="007C2750">
        <w:rPr>
          <w:rFonts w:cs="Arial"/>
          <w:bCs/>
        </w:rPr>
        <w:t>. A titleholder will not be restricted to undertaking these activities during the remainder of the permit term, and the Minister’s consent will be given for an extension/renewal of the title term on the basis that all activities allowable under the OPGGS Act and the EPBC Act may be undertaken (subject to any conditions imposed by the Minister)</w:t>
      </w:r>
      <w:r w:rsidR="007C2750">
        <w:rPr>
          <w:rFonts w:cs="Arial"/>
          <w:bCs/>
        </w:rPr>
        <w:t>.</w:t>
      </w:r>
    </w:p>
    <w:p w:rsidR="001B25EE" w:rsidRDefault="001B25EE" w:rsidP="001B25EE">
      <w:pPr>
        <w:pStyle w:val="Heading2"/>
      </w:pPr>
      <w:bookmarkStart w:id="15" w:name="_Toc448316995"/>
      <w:r>
        <w:t>Conditions</w:t>
      </w:r>
      <w:bookmarkEnd w:id="15"/>
    </w:p>
    <w:p w:rsidR="001B25EE" w:rsidRDefault="001B25EE" w:rsidP="001B25EE">
      <w:pPr>
        <w:pStyle w:val="List2"/>
        <w:numPr>
          <w:ilvl w:val="1"/>
          <w:numId w:val="7"/>
        </w:numPr>
        <w:spacing w:after="120"/>
        <w:ind w:left="709" w:hanging="567"/>
        <w:contextualSpacing w:val="0"/>
        <w:rPr>
          <w:rFonts w:cs="Arial"/>
        </w:rPr>
      </w:pPr>
      <w:r w:rsidRPr="002B5D3C">
        <w:rPr>
          <w:rFonts w:cs="Arial"/>
        </w:rPr>
        <w:t xml:space="preserve">The Minister for the Environment may </w:t>
      </w:r>
      <w:r w:rsidR="00C56F75">
        <w:rPr>
          <w:rFonts w:cs="Arial"/>
        </w:rPr>
        <w:t xml:space="preserve">impose </w:t>
      </w:r>
      <w:r>
        <w:rPr>
          <w:rFonts w:cs="Arial"/>
        </w:rPr>
        <w:t xml:space="preserve">conditions </w:t>
      </w:r>
      <w:r w:rsidR="00C56F75">
        <w:rPr>
          <w:rFonts w:cs="Arial"/>
        </w:rPr>
        <w:t>for</w:t>
      </w:r>
      <w:r>
        <w:rPr>
          <w:rFonts w:cs="Arial"/>
        </w:rPr>
        <w:t xml:space="preserve"> the protection of the values of a Commonwealth </w:t>
      </w:r>
      <w:r w:rsidR="007C2750">
        <w:rPr>
          <w:rFonts w:cs="Arial"/>
        </w:rPr>
        <w:t>m</w:t>
      </w:r>
      <w:r>
        <w:rPr>
          <w:rFonts w:cs="Arial"/>
        </w:rPr>
        <w:t xml:space="preserve">arine </w:t>
      </w:r>
      <w:r w:rsidR="007C2750">
        <w:rPr>
          <w:rFonts w:cs="Arial"/>
        </w:rPr>
        <w:t>r</w:t>
      </w:r>
      <w:r>
        <w:rPr>
          <w:rFonts w:cs="Arial"/>
        </w:rPr>
        <w:t>eserve from unacceptable impacts</w:t>
      </w:r>
      <w:r w:rsidRPr="002B5D3C">
        <w:rPr>
          <w:rFonts w:cs="Arial"/>
        </w:rPr>
        <w:t xml:space="preserve">. </w:t>
      </w:r>
    </w:p>
    <w:p w:rsidR="00A51657" w:rsidRPr="00367005" w:rsidRDefault="00A51657" w:rsidP="001B25EE">
      <w:pPr>
        <w:pStyle w:val="List2"/>
        <w:numPr>
          <w:ilvl w:val="1"/>
          <w:numId w:val="7"/>
        </w:numPr>
        <w:spacing w:after="120"/>
        <w:ind w:left="709" w:hanging="567"/>
        <w:contextualSpacing w:val="0"/>
        <w:rPr>
          <w:rFonts w:cs="Arial"/>
        </w:rPr>
      </w:pPr>
      <w:r w:rsidRPr="00367005">
        <w:rPr>
          <w:rFonts w:cs="Arial"/>
        </w:rPr>
        <w:t xml:space="preserve">Any condition/s </w:t>
      </w:r>
      <w:r w:rsidRPr="00367005">
        <w:t>would be</w:t>
      </w:r>
      <w:r w:rsidR="00CF3D79" w:rsidRPr="00367005">
        <w:t xml:space="preserve"> decided on a case-by-</w:t>
      </w:r>
      <w:r w:rsidRPr="00367005">
        <w:t>case basis</w:t>
      </w:r>
      <w:r w:rsidR="00C56F75">
        <w:t xml:space="preserve"> taking into account the particular title and the reserve zones it overlaps</w:t>
      </w:r>
      <w:r w:rsidRPr="00367005">
        <w:t>.</w:t>
      </w:r>
    </w:p>
    <w:p w:rsidR="00CF3D79" w:rsidRPr="002B5D3C" w:rsidRDefault="00CF3D79" w:rsidP="00CF3D79">
      <w:pPr>
        <w:pStyle w:val="List2"/>
        <w:numPr>
          <w:ilvl w:val="1"/>
          <w:numId w:val="7"/>
        </w:numPr>
        <w:spacing w:after="120"/>
        <w:ind w:left="709" w:hanging="567"/>
        <w:contextualSpacing w:val="0"/>
        <w:rPr>
          <w:rFonts w:cs="Arial"/>
        </w:rPr>
      </w:pPr>
      <w:r>
        <w:rPr>
          <w:rFonts w:cs="Arial"/>
        </w:rPr>
        <w:t xml:space="preserve">If the Minister is considering </w:t>
      </w:r>
      <w:r w:rsidR="00C56F75">
        <w:rPr>
          <w:rFonts w:cs="Arial"/>
        </w:rPr>
        <w:t xml:space="preserve">imposing </w:t>
      </w:r>
      <w:r>
        <w:rPr>
          <w:rFonts w:cs="Arial"/>
        </w:rPr>
        <w:t>any conditions, Parks Australia will consult the titleholder prior to the Minister making his/her decision.</w:t>
      </w:r>
    </w:p>
    <w:p w:rsidR="001B25EE" w:rsidRPr="002B5D3C" w:rsidRDefault="001B25EE" w:rsidP="001B25EE">
      <w:pPr>
        <w:pStyle w:val="List2"/>
        <w:numPr>
          <w:ilvl w:val="1"/>
          <w:numId w:val="7"/>
        </w:numPr>
        <w:spacing w:after="120"/>
        <w:ind w:left="709" w:hanging="567"/>
        <w:contextualSpacing w:val="0"/>
        <w:rPr>
          <w:rFonts w:cs="Arial"/>
        </w:rPr>
      </w:pPr>
      <w:r>
        <w:rPr>
          <w:rFonts w:cs="Arial"/>
        </w:rPr>
        <w:t>Any condition will be communicated in writing with the Minister’s consent.</w:t>
      </w:r>
    </w:p>
    <w:p w:rsidR="001B25EE" w:rsidRPr="002B5D3C" w:rsidRDefault="001B25EE" w:rsidP="00A9751D">
      <w:pPr>
        <w:pStyle w:val="List2"/>
        <w:numPr>
          <w:ilvl w:val="1"/>
          <w:numId w:val="7"/>
        </w:numPr>
        <w:ind w:left="709" w:hanging="567"/>
        <w:contextualSpacing w:val="0"/>
        <w:rPr>
          <w:rFonts w:cs="Arial"/>
        </w:rPr>
      </w:pPr>
      <w:r w:rsidRPr="002B5D3C">
        <w:rPr>
          <w:rFonts w:cs="Arial"/>
        </w:rPr>
        <w:lastRenderedPageBreak/>
        <w:t>If a titleholder does not comply with a condition</w:t>
      </w:r>
      <w:r>
        <w:rPr>
          <w:rFonts w:cs="Arial"/>
        </w:rPr>
        <w:t>,</w:t>
      </w:r>
      <w:r w:rsidRPr="002B5D3C">
        <w:rPr>
          <w:rFonts w:cs="Arial"/>
        </w:rPr>
        <w:t xml:space="preserve"> the Minister </w:t>
      </w:r>
      <w:r>
        <w:rPr>
          <w:rFonts w:cs="Arial"/>
        </w:rPr>
        <w:t>may take action under s</w:t>
      </w:r>
      <w:r w:rsidR="00C56F75">
        <w:rPr>
          <w:rFonts w:cs="Arial"/>
        </w:rPr>
        <w:t>ection </w:t>
      </w:r>
      <w:r>
        <w:rPr>
          <w:rFonts w:cs="Arial"/>
        </w:rPr>
        <w:t xml:space="preserve">475 of the EPBC Act to require </w:t>
      </w:r>
      <w:r w:rsidRPr="002B5D3C">
        <w:rPr>
          <w:rFonts w:cs="Arial"/>
        </w:rPr>
        <w:t xml:space="preserve">the titleholder </w:t>
      </w:r>
      <w:r w:rsidR="00C56F75">
        <w:rPr>
          <w:rFonts w:cs="Arial"/>
        </w:rPr>
        <w:t xml:space="preserve">either </w:t>
      </w:r>
      <w:r w:rsidRPr="002B5D3C">
        <w:rPr>
          <w:rFonts w:cs="Arial"/>
        </w:rPr>
        <w:t>to comply with the condition</w:t>
      </w:r>
      <w:r>
        <w:rPr>
          <w:rFonts w:cs="Arial"/>
        </w:rPr>
        <w:t>(s)</w:t>
      </w:r>
      <w:r w:rsidRPr="002B5D3C">
        <w:rPr>
          <w:rFonts w:cs="Arial"/>
        </w:rPr>
        <w:t xml:space="preserve"> or to cease operations</w:t>
      </w:r>
      <w:r>
        <w:rPr>
          <w:rFonts w:cs="Arial"/>
        </w:rPr>
        <w:t xml:space="preserve"> that are contrary to the condition(s)</w:t>
      </w:r>
      <w:r w:rsidRPr="002B5D3C">
        <w:rPr>
          <w:rFonts w:cs="Arial"/>
        </w:rPr>
        <w:t xml:space="preserve">. </w:t>
      </w:r>
    </w:p>
    <w:p w:rsidR="001B25EE" w:rsidRDefault="001B25EE" w:rsidP="001B25EE">
      <w:pPr>
        <w:pStyle w:val="Heading2"/>
      </w:pPr>
      <w:bookmarkStart w:id="16" w:name="_Toc448316996"/>
      <w:r>
        <w:t>Refusal of Consent</w:t>
      </w:r>
      <w:bookmarkEnd w:id="16"/>
    </w:p>
    <w:p w:rsidR="001B25EE" w:rsidRPr="00E03040" w:rsidRDefault="001B25EE" w:rsidP="001B25EE">
      <w:pPr>
        <w:pStyle w:val="List2"/>
        <w:numPr>
          <w:ilvl w:val="1"/>
          <w:numId w:val="7"/>
        </w:numPr>
        <w:spacing w:after="120"/>
        <w:ind w:left="709" w:hanging="567"/>
        <w:contextualSpacing w:val="0"/>
        <w:rPr>
          <w:rFonts w:cs="Arial"/>
        </w:rPr>
      </w:pPr>
      <w:r>
        <w:rPr>
          <w:rFonts w:cs="Arial"/>
        </w:rPr>
        <w:t>If the Minister for the Environment is considering not giving consent, Parks Australia will consult the titleholder prior to the Minister making his/her decision.</w:t>
      </w:r>
    </w:p>
    <w:p w:rsidR="001B25EE" w:rsidRDefault="001B25EE" w:rsidP="001B25EE">
      <w:pPr>
        <w:pStyle w:val="List2"/>
        <w:numPr>
          <w:ilvl w:val="1"/>
          <w:numId w:val="7"/>
        </w:numPr>
        <w:spacing w:after="120"/>
        <w:ind w:left="709" w:hanging="567"/>
        <w:contextualSpacing w:val="0"/>
        <w:rPr>
          <w:rFonts w:cs="Arial"/>
          <w:bCs/>
        </w:rPr>
      </w:pPr>
      <w:r>
        <w:rPr>
          <w:rFonts w:cs="Arial"/>
          <w:bCs/>
        </w:rPr>
        <w:t xml:space="preserve">In the event that the Minister does not consent, the </w:t>
      </w:r>
      <w:r w:rsidR="00156ADE">
        <w:rPr>
          <w:rFonts w:cs="Arial"/>
          <w:bCs/>
        </w:rPr>
        <w:t xml:space="preserve">relevant Offshore Petroleum </w:t>
      </w:r>
      <w:r>
        <w:rPr>
          <w:rFonts w:cs="Arial"/>
          <w:bCs/>
        </w:rPr>
        <w:t>Joint Authority has no choice but to refuse the application for extension or renewal</w:t>
      </w:r>
      <w:r w:rsidR="00156ADE">
        <w:rPr>
          <w:rFonts w:cs="Arial"/>
          <w:bCs/>
        </w:rPr>
        <w:t xml:space="preserve"> under the OPGGS Act</w:t>
      </w:r>
      <w:r>
        <w:rPr>
          <w:rFonts w:cs="Arial"/>
          <w:bCs/>
        </w:rPr>
        <w:t>.</w:t>
      </w:r>
    </w:p>
    <w:p w:rsidR="001B25EE" w:rsidRDefault="001B25EE" w:rsidP="001B25EE">
      <w:pPr>
        <w:pStyle w:val="List2"/>
        <w:numPr>
          <w:ilvl w:val="1"/>
          <w:numId w:val="7"/>
        </w:numPr>
        <w:spacing w:after="120"/>
        <w:ind w:left="709" w:hanging="567"/>
        <w:contextualSpacing w:val="0"/>
        <w:rPr>
          <w:rFonts w:cs="Arial"/>
          <w:bCs/>
        </w:rPr>
      </w:pPr>
      <w:r>
        <w:rPr>
          <w:rFonts w:cs="Arial"/>
          <w:bCs/>
        </w:rPr>
        <w:t>Similarly, if the titleholder elects not to apply for consent of the Minister</w:t>
      </w:r>
      <w:r w:rsidR="00C56F75">
        <w:rPr>
          <w:rFonts w:cs="Arial"/>
          <w:bCs/>
        </w:rPr>
        <w:t xml:space="preserve"> for the Environment</w:t>
      </w:r>
      <w:r>
        <w:rPr>
          <w:rFonts w:cs="Arial"/>
          <w:bCs/>
        </w:rPr>
        <w:t xml:space="preserve">, the </w:t>
      </w:r>
      <w:r w:rsidR="00156ADE">
        <w:rPr>
          <w:rFonts w:cs="Arial"/>
          <w:bCs/>
        </w:rPr>
        <w:t xml:space="preserve">relevant Offshore Petroleum </w:t>
      </w:r>
      <w:r>
        <w:rPr>
          <w:rFonts w:cs="Arial"/>
          <w:bCs/>
        </w:rPr>
        <w:t xml:space="preserve">Joint Authority </w:t>
      </w:r>
      <w:r w:rsidR="00592FFB">
        <w:rPr>
          <w:rFonts w:cs="Arial"/>
          <w:bCs/>
        </w:rPr>
        <w:t>cannot</w:t>
      </w:r>
      <w:r w:rsidR="001C4AE2">
        <w:rPr>
          <w:rFonts w:cs="Arial"/>
          <w:bCs/>
        </w:rPr>
        <w:t xml:space="preserve"> finalise </w:t>
      </w:r>
      <w:r w:rsidR="00592FFB">
        <w:rPr>
          <w:rFonts w:cs="Arial"/>
          <w:bCs/>
        </w:rPr>
        <w:t>an</w:t>
      </w:r>
      <w:r w:rsidR="00CF3D79">
        <w:rPr>
          <w:rFonts w:cs="Arial"/>
          <w:bCs/>
        </w:rPr>
        <w:t xml:space="preserve"> </w:t>
      </w:r>
      <w:r>
        <w:rPr>
          <w:rFonts w:cs="Arial"/>
          <w:bCs/>
        </w:rPr>
        <w:t>application for extension or renewal.</w:t>
      </w:r>
    </w:p>
    <w:p w:rsidR="001C4AE2" w:rsidRPr="00AB332A" w:rsidRDefault="001C4AE2" w:rsidP="001B25EE">
      <w:pPr>
        <w:pStyle w:val="List2"/>
        <w:numPr>
          <w:ilvl w:val="1"/>
          <w:numId w:val="7"/>
        </w:numPr>
        <w:spacing w:after="120"/>
        <w:ind w:left="709" w:hanging="567"/>
        <w:contextualSpacing w:val="0"/>
        <w:rPr>
          <w:rFonts w:cs="Arial"/>
          <w:bCs/>
        </w:rPr>
      </w:pPr>
      <w:r>
        <w:rPr>
          <w:rFonts w:cs="Arial"/>
          <w:bCs/>
        </w:rPr>
        <w:t>If an application for consent is not submitted within a reasonable timeframe, the Joint Authority may seek to resolve the matter in consultation with the titleholder.</w:t>
      </w:r>
    </w:p>
    <w:p w:rsidR="001B25EE" w:rsidRDefault="00C56F75" w:rsidP="001B25EE">
      <w:pPr>
        <w:pStyle w:val="List2"/>
        <w:numPr>
          <w:ilvl w:val="1"/>
          <w:numId w:val="7"/>
        </w:numPr>
        <w:spacing w:after="120"/>
        <w:ind w:left="709" w:hanging="567"/>
        <w:contextualSpacing w:val="0"/>
        <w:rPr>
          <w:rFonts w:cs="Arial"/>
          <w:bCs/>
        </w:rPr>
      </w:pPr>
      <w:r>
        <w:rPr>
          <w:rFonts w:cs="Arial"/>
          <w:bCs/>
        </w:rPr>
        <w:t>The consent of the Minister for the Environment is not required for a</w:t>
      </w:r>
      <w:r w:rsidR="001B25EE">
        <w:rPr>
          <w:rFonts w:cs="Arial"/>
          <w:bCs/>
        </w:rPr>
        <w:t xml:space="preserve">pplications for suspension </w:t>
      </w:r>
      <w:r w:rsidR="00592FFB">
        <w:rPr>
          <w:rFonts w:cs="Arial"/>
          <w:bCs/>
        </w:rPr>
        <w:t xml:space="preserve">or variation </w:t>
      </w:r>
      <w:r w:rsidR="001B25EE">
        <w:rPr>
          <w:rFonts w:cs="Arial"/>
          <w:bCs/>
        </w:rPr>
        <w:t xml:space="preserve">of title conditions, exemption </w:t>
      </w:r>
      <w:r w:rsidR="00592FFB">
        <w:rPr>
          <w:rFonts w:cs="Arial"/>
          <w:bCs/>
        </w:rPr>
        <w:t xml:space="preserve">from title conditions </w:t>
      </w:r>
      <w:r>
        <w:rPr>
          <w:rFonts w:cs="Arial"/>
          <w:bCs/>
        </w:rPr>
        <w:t xml:space="preserve">or </w:t>
      </w:r>
      <w:r w:rsidR="001B25EE">
        <w:rPr>
          <w:rFonts w:cs="Arial"/>
          <w:bCs/>
        </w:rPr>
        <w:t>surrender</w:t>
      </w:r>
      <w:r w:rsidR="00592FFB">
        <w:rPr>
          <w:rFonts w:cs="Arial"/>
          <w:bCs/>
        </w:rPr>
        <w:t xml:space="preserve"> of a title</w:t>
      </w:r>
      <w:r w:rsidR="001B25EE">
        <w:rPr>
          <w:rFonts w:cs="Arial"/>
          <w:bCs/>
        </w:rPr>
        <w:t>.</w:t>
      </w:r>
    </w:p>
    <w:p w:rsidR="001B25EE" w:rsidRDefault="00A9751D" w:rsidP="00A9751D">
      <w:pPr>
        <w:pStyle w:val="Heading1"/>
        <w:keepNext w:val="0"/>
        <w:numPr>
          <w:ilvl w:val="0"/>
          <w:numId w:val="7"/>
        </w:numPr>
        <w:spacing w:before="480"/>
        <w:ind w:left="357" w:hanging="357"/>
        <w:contextualSpacing/>
      </w:pPr>
      <w:bookmarkStart w:id="17" w:name="_Toc448316997"/>
      <w:r>
        <w:t>C</w:t>
      </w:r>
      <w:r w:rsidR="001B25EE">
        <w:t>easing to be a prior usage right</w:t>
      </w:r>
      <w:bookmarkEnd w:id="17"/>
    </w:p>
    <w:p w:rsidR="001B25EE" w:rsidRDefault="00DF42DC" w:rsidP="001B25EE">
      <w:pPr>
        <w:pStyle w:val="List2"/>
        <w:numPr>
          <w:ilvl w:val="1"/>
          <w:numId w:val="7"/>
        </w:numPr>
        <w:spacing w:after="120"/>
        <w:ind w:left="709" w:hanging="567"/>
        <w:contextualSpacing w:val="0"/>
        <w:rPr>
          <w:rFonts w:cs="Arial"/>
        </w:rPr>
      </w:pPr>
      <w:r>
        <w:rPr>
          <w:rFonts w:cs="Arial"/>
        </w:rPr>
        <w:t>E</w:t>
      </w:r>
      <w:r w:rsidR="001B25EE">
        <w:rPr>
          <w:rFonts w:cs="Arial"/>
        </w:rPr>
        <w:t xml:space="preserve">ach type of title under the OPGGS Act is a separate usage right for the purposes of the EPBC Act. </w:t>
      </w:r>
      <w:r w:rsidR="001B25EE" w:rsidRPr="003916F3">
        <w:rPr>
          <w:rFonts w:cs="Arial"/>
        </w:rPr>
        <w:t>A</w:t>
      </w:r>
      <w:r w:rsidR="001B25EE">
        <w:rPr>
          <w:rFonts w:cs="Arial"/>
        </w:rPr>
        <w:t>ccordingly, a prior usage</w:t>
      </w:r>
      <w:r w:rsidR="001B25EE" w:rsidRPr="003916F3">
        <w:rPr>
          <w:rFonts w:cs="Arial"/>
        </w:rPr>
        <w:t xml:space="preserve"> title continues to be a</w:t>
      </w:r>
      <w:r w:rsidR="001B25EE" w:rsidRPr="0039570E">
        <w:rPr>
          <w:rFonts w:cs="Arial"/>
          <w:sz w:val="24"/>
        </w:rPr>
        <w:t xml:space="preserve"> </w:t>
      </w:r>
      <w:r w:rsidR="001B25EE">
        <w:rPr>
          <w:rFonts w:cs="Arial"/>
        </w:rPr>
        <w:t>prior usage right until it either</w:t>
      </w:r>
    </w:p>
    <w:p w:rsidR="001B25EE" w:rsidRDefault="001B25EE" w:rsidP="001B25EE">
      <w:pPr>
        <w:pStyle w:val="List2"/>
        <w:numPr>
          <w:ilvl w:val="2"/>
          <w:numId w:val="7"/>
        </w:numPr>
        <w:spacing w:after="120"/>
        <w:ind w:hanging="373"/>
        <w:contextualSpacing w:val="0"/>
        <w:rPr>
          <w:rFonts w:cs="Arial"/>
        </w:rPr>
      </w:pPr>
      <w:r>
        <w:rPr>
          <w:rFonts w:cs="Arial"/>
        </w:rPr>
        <w:t>progresses to the next title type, e.g. from an exploration permit to a retention lease, or</w:t>
      </w:r>
    </w:p>
    <w:p w:rsidR="001B25EE" w:rsidRPr="00635D6A" w:rsidRDefault="001B25EE" w:rsidP="001B25EE">
      <w:pPr>
        <w:pStyle w:val="List2"/>
        <w:numPr>
          <w:ilvl w:val="2"/>
          <w:numId w:val="7"/>
        </w:numPr>
        <w:spacing w:after="120"/>
        <w:ind w:hanging="373"/>
        <w:contextualSpacing w:val="0"/>
        <w:rPr>
          <w:rFonts w:cs="Arial"/>
          <w:sz w:val="24"/>
        </w:rPr>
      </w:pPr>
      <w:proofErr w:type="gramStart"/>
      <w:r>
        <w:rPr>
          <w:rFonts w:cs="Arial"/>
        </w:rPr>
        <w:t>all</w:t>
      </w:r>
      <w:proofErr w:type="gramEnd"/>
      <w:r>
        <w:rPr>
          <w:rFonts w:cs="Arial"/>
        </w:rPr>
        <w:t xml:space="preserve"> blocks overlapping a Commonwealth marine reserve are relinquished</w:t>
      </w:r>
      <w:r w:rsidR="006631E9">
        <w:rPr>
          <w:rFonts w:cs="Arial"/>
        </w:rPr>
        <w:t>/surrendered</w:t>
      </w:r>
      <w:r>
        <w:rPr>
          <w:rFonts w:cs="Arial"/>
        </w:rPr>
        <w:t>.</w:t>
      </w:r>
    </w:p>
    <w:p w:rsidR="00DF42DC" w:rsidRPr="00A51657" w:rsidRDefault="00122E43" w:rsidP="00A51657">
      <w:pPr>
        <w:pStyle w:val="List2"/>
        <w:numPr>
          <w:ilvl w:val="1"/>
          <w:numId w:val="7"/>
        </w:numPr>
        <w:spacing w:after="120"/>
        <w:ind w:left="709" w:hanging="567"/>
        <w:contextualSpacing w:val="0"/>
      </w:pPr>
      <w:r>
        <w:rPr>
          <w:rFonts w:cs="Arial"/>
        </w:rPr>
        <w:t xml:space="preserve">If a title is progressed to the next title type, </w:t>
      </w:r>
      <w:r w:rsidR="00CE13E1" w:rsidRPr="00367005">
        <w:t>the next title</w:t>
      </w:r>
      <w:r w:rsidR="00DF42DC">
        <w:t xml:space="preserve"> </w:t>
      </w:r>
      <w:r>
        <w:t xml:space="preserve">will not be a prior usage right. If the next title </w:t>
      </w:r>
      <w:r w:rsidR="00DF42DC">
        <w:t xml:space="preserve">still overlaps a Commonwealth marine reserve, </w:t>
      </w:r>
      <w:r w:rsidR="00DF42DC">
        <w:rPr>
          <w:rFonts w:cs="Arial"/>
        </w:rPr>
        <w:t xml:space="preserve">all relevant </w:t>
      </w:r>
      <w:r w:rsidR="00CE13E1">
        <w:rPr>
          <w:rFonts w:cs="Arial"/>
        </w:rPr>
        <w:t>provisions of the EPBC Act and Regulations, and any management plans in operation for the reserve, must be complied with</w:t>
      </w:r>
      <w:r w:rsidR="00DF42DC">
        <w:rPr>
          <w:rFonts w:cs="Arial"/>
        </w:rPr>
        <w:t>.</w:t>
      </w:r>
    </w:p>
    <w:p w:rsidR="001B25EE" w:rsidRDefault="001B25EE" w:rsidP="00A9751D">
      <w:pPr>
        <w:pStyle w:val="Heading1"/>
        <w:keepNext w:val="0"/>
        <w:numPr>
          <w:ilvl w:val="0"/>
          <w:numId w:val="7"/>
        </w:numPr>
        <w:spacing w:before="480"/>
        <w:ind w:left="357" w:hanging="357"/>
        <w:contextualSpacing/>
      </w:pPr>
      <w:bookmarkStart w:id="18" w:name="_Toc448316998"/>
      <w:r>
        <w:t>Questions</w:t>
      </w:r>
      <w:bookmarkEnd w:id="18"/>
    </w:p>
    <w:p w:rsidR="001B25EE" w:rsidRPr="00E238BB" w:rsidRDefault="001B25EE" w:rsidP="00E238BB">
      <w:pPr>
        <w:pStyle w:val="List2"/>
        <w:numPr>
          <w:ilvl w:val="0"/>
          <w:numId w:val="8"/>
        </w:numPr>
        <w:spacing w:after="120"/>
        <w:contextualSpacing w:val="0"/>
        <w:rPr>
          <w:rFonts w:cs="Arial"/>
          <w:szCs w:val="24"/>
        </w:rPr>
      </w:pPr>
      <w:r w:rsidRPr="00E238BB">
        <w:rPr>
          <w:rFonts w:cs="Arial"/>
          <w:szCs w:val="24"/>
        </w:rPr>
        <w:t>Any questions about this guideline or requirements of the EPBC Act should be directed in the first instance to:</w:t>
      </w:r>
    </w:p>
    <w:p w:rsidR="00DF42DC" w:rsidRDefault="001B25EE" w:rsidP="00A9751D">
      <w:pPr>
        <w:pStyle w:val="List2"/>
        <w:spacing w:before="200"/>
        <w:ind w:left="720" w:hanging="11"/>
      </w:pPr>
      <w:r>
        <w:rPr>
          <w:rFonts w:cs="Arial"/>
        </w:rPr>
        <w:t>Marine Protected Areas Branch</w:t>
      </w:r>
      <w:r>
        <w:rPr>
          <w:rFonts w:cs="Arial"/>
        </w:rPr>
        <w:br/>
        <w:t>Parks Australia</w:t>
      </w:r>
      <w:r>
        <w:rPr>
          <w:rFonts w:cs="Arial"/>
        </w:rPr>
        <w:br/>
        <w:t>Email:</w:t>
      </w:r>
      <w:r>
        <w:rPr>
          <w:rFonts w:cs="Arial"/>
        </w:rPr>
        <w:tab/>
      </w:r>
      <w:hyperlink r:id="rId17" w:history="1">
        <w:r w:rsidR="00E80D3C" w:rsidRPr="00B64279">
          <w:rPr>
            <w:rStyle w:val="Hyperlink"/>
            <w:rFonts w:cs="Arial"/>
          </w:rPr>
          <w:t>MarineReserves@environment.gov.au</w:t>
        </w:r>
      </w:hyperlink>
      <w:r w:rsidR="00E80D3C">
        <w:rPr>
          <w:rFonts w:cs="Arial"/>
        </w:rPr>
        <w:t xml:space="preserve"> </w:t>
      </w:r>
    </w:p>
    <w:p w:rsidR="00E238BB" w:rsidRDefault="00E238BB" w:rsidP="00A9751D">
      <w:pPr>
        <w:pStyle w:val="List2"/>
        <w:spacing w:before="200"/>
        <w:ind w:left="720" w:hanging="11"/>
        <w:rPr>
          <w:rFonts w:cs="Arial"/>
        </w:rPr>
      </w:pPr>
    </w:p>
    <w:p w:rsidR="00C0053E" w:rsidRPr="00E238BB" w:rsidRDefault="00156A89" w:rsidP="00E238BB">
      <w:pPr>
        <w:pStyle w:val="List2"/>
        <w:numPr>
          <w:ilvl w:val="0"/>
          <w:numId w:val="8"/>
        </w:numPr>
        <w:spacing w:before="200" w:after="120"/>
        <w:ind w:left="357" w:hanging="357"/>
        <w:contextualSpacing w:val="0"/>
        <w:rPr>
          <w:rFonts w:cs="Arial"/>
          <w:szCs w:val="24"/>
        </w:rPr>
      </w:pPr>
      <w:r w:rsidRPr="00E238BB">
        <w:rPr>
          <w:rFonts w:cs="Arial"/>
          <w:szCs w:val="24"/>
        </w:rPr>
        <w:t xml:space="preserve">Parks Australia will </w:t>
      </w:r>
      <w:r w:rsidR="00E238BB" w:rsidRPr="00E238BB">
        <w:rPr>
          <w:rFonts w:cs="Arial"/>
          <w:szCs w:val="24"/>
        </w:rPr>
        <w:t xml:space="preserve">seek to </w:t>
      </w:r>
      <w:r w:rsidRPr="00E238BB">
        <w:rPr>
          <w:rFonts w:cs="Arial"/>
          <w:szCs w:val="24"/>
        </w:rPr>
        <w:t>respond to questions regarding this guideline or requirements of the EPBC Act within 24 hours.</w:t>
      </w:r>
    </w:p>
    <w:p w:rsidR="001B25EE" w:rsidRPr="00B14370" w:rsidRDefault="001B25EE" w:rsidP="00A51657">
      <w:pPr>
        <w:pStyle w:val="List2"/>
        <w:ind w:left="720" w:hanging="11"/>
        <w:rPr>
          <w:rFonts w:cs="Arial"/>
          <w:color w:val="0000FF"/>
          <w:u w:val="single"/>
        </w:rPr>
      </w:pPr>
      <w:r>
        <w:rPr>
          <w:rFonts w:cs="Arial"/>
          <w:bCs/>
        </w:rPr>
        <w:br w:type="page"/>
      </w:r>
    </w:p>
    <w:p w:rsidR="001B25EE" w:rsidRDefault="001B25EE" w:rsidP="00A51657">
      <w:pPr>
        <w:pStyle w:val="Heading1"/>
        <w:jc w:val="right"/>
      </w:pPr>
      <w:bookmarkStart w:id="19" w:name="_Toc448316999"/>
      <w:r>
        <w:lastRenderedPageBreak/>
        <w:t>Appendix A</w:t>
      </w:r>
      <w:bookmarkEnd w:id="19"/>
    </w:p>
    <w:p w:rsidR="001B25EE" w:rsidRDefault="001B25EE" w:rsidP="001B25EE">
      <w:pPr>
        <w:pStyle w:val="Heading2"/>
      </w:pPr>
      <w:bookmarkStart w:id="20" w:name="_Toc448317000"/>
      <w:r>
        <w:t>Process Diagram</w:t>
      </w:r>
      <w:bookmarkEnd w:id="20"/>
    </w:p>
    <w:p w:rsidR="001B25EE" w:rsidRDefault="001B25EE" w:rsidP="001B25EE">
      <w:pPr>
        <w:pStyle w:val="List2"/>
        <w:rPr>
          <w:rFonts w:cs="Arial"/>
          <w:bCs/>
        </w:rPr>
      </w:pPr>
    </w:p>
    <w:p w:rsidR="001B25EE" w:rsidRPr="00CF5E17" w:rsidRDefault="001B25EE" w:rsidP="001B25EE">
      <w:pPr>
        <w:pStyle w:val="List2"/>
        <w:tabs>
          <w:tab w:val="left" w:pos="426"/>
          <w:tab w:val="left" w:pos="3261"/>
          <w:tab w:val="left" w:pos="3969"/>
          <w:tab w:val="left" w:pos="7088"/>
        </w:tabs>
        <w:rPr>
          <w:rFonts w:cs="Arial"/>
          <w:b/>
          <w:bCs/>
          <w:color w:val="1F497D" w:themeColor="text2"/>
          <w:sz w:val="32"/>
          <w:szCs w:val="32"/>
        </w:rPr>
      </w:pPr>
      <w:r>
        <w:rPr>
          <w:rFonts w:cs="Arial"/>
          <w:bCs/>
        </w:rPr>
        <w:tab/>
      </w:r>
      <w:r>
        <w:rPr>
          <w:rFonts w:cs="Arial"/>
          <w:bCs/>
        </w:rPr>
        <w:tab/>
      </w:r>
      <w:r w:rsidR="00721BF6">
        <w:rPr>
          <w:rFonts w:cs="Arial"/>
          <w:bCs/>
        </w:rPr>
        <w:tab/>
      </w:r>
      <w:r w:rsidRPr="00CF5E17">
        <w:rPr>
          <w:rFonts w:cs="Arial"/>
          <w:b/>
          <w:bCs/>
          <w:color w:val="1F497D" w:themeColor="text2"/>
          <w:sz w:val="32"/>
          <w:szCs w:val="32"/>
        </w:rPr>
        <w:t>OPPGGS Act</w:t>
      </w:r>
      <w:r w:rsidRPr="00CF5E17">
        <w:rPr>
          <w:rFonts w:cs="Arial"/>
          <w:b/>
          <w:bCs/>
          <w:color w:val="1F497D" w:themeColor="text2"/>
          <w:sz w:val="32"/>
          <w:szCs w:val="32"/>
        </w:rPr>
        <w:tab/>
        <w:t>EPBC Act</w:t>
      </w:r>
    </w:p>
    <w:p w:rsidR="001B25EE" w:rsidRPr="002619FC" w:rsidRDefault="00A2437E" w:rsidP="00A51657">
      <w:pPr>
        <w:pStyle w:val="List2"/>
        <w:tabs>
          <w:tab w:val="left" w:pos="0"/>
          <w:tab w:val="left" w:pos="8080"/>
        </w:tabs>
        <w:ind w:left="284" w:hanging="1"/>
        <w:rPr>
          <w:rFonts w:cs="Arial"/>
          <w:b/>
          <w:bCs/>
          <w:color w:val="1F497D" w:themeColor="text2"/>
          <w:sz w:val="32"/>
          <w:szCs w:val="32"/>
        </w:rPr>
      </w:pPr>
      <w:r>
        <w:rPr>
          <w:rFonts w:cs="Arial"/>
          <w:b/>
          <w:bCs/>
          <w:noProof/>
          <w:color w:val="1F497D" w:themeColor="text2"/>
          <w:sz w:val="32"/>
          <w:szCs w:val="32"/>
          <w:lang w:eastAsia="en-AU"/>
        </w:rPr>
        <w:pict>
          <v:group id="Group 20" o:spid="_x0000_s1026" style="position:absolute;left:0;text-align:left;margin-left:146.25pt;margin-top:11.6pt;width:311.55pt;height:540pt;z-index:251660288" coordsize="39566,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">
            <v:shapetype id="_x0000_t202" coordsize="21600,21600" o:spt="202" path="m,l,21600r21600,l21600,xe">
              <v:stroke joinstyle="miter"/>
              <v:path gradientshapeok="t" o:connecttype="rect"/>
            </v:shapetype>
            <v:shape id="Text Box 3" o:spid="_x0000_s1027" type="#_x0000_t202" style="position:absolute;width:16586;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La8IA&#10;AADaAAAADwAAAGRycy9kb3ducmV2LnhtbESPQWsCMRSE74X+h/AK3mq2XRRZjVLaCoIndVvw9ti8&#10;7oZuXrZJ6q7/3giCx2FmvmEWq8G24kQ+GMcKXsYZCOLKacO1gvKwfp6BCBFZY+uYFJwpwGr5+LDA&#10;Qrued3Tax1okCIcCFTQxdoWUoWrIYhi7jjh5P85bjEn6WmqPfYLbVr5m2VRaNJwWGuzovaHqd/9v&#10;FbRb5z++8fM4MV8b4vIvL82MlRo9DW9zEJGGeA/f2hutIIfrlXQD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strwgAAANoAAAAPAAAAAAAAAAAAAAAAAJgCAABkcnMvZG93&#10;bnJldi54bWxQSwUGAAAAAAQABAD1AAAAhwMAAAAA&#10;" fillcolor="#4f81bd [3204]" strokecolor="#243f60 [1604]" strokeweight="2pt">
              <v:textbox>
                <w:txbxContent>
                  <w:p w:rsidR="00A9751D" w:rsidRDefault="00A9751D" w:rsidP="00FF3FDB">
                    <w:pPr>
                      <w:ind w:left="-142" w:right="-115"/>
                      <w:jc w:val="center"/>
                    </w:pPr>
                    <w:r>
                      <w:t>Suspension &amp; Extension</w:t>
                    </w:r>
                    <w:r w:rsidDel="005017CC">
                      <w:t xml:space="preserve"> </w:t>
                    </w:r>
                    <w:r>
                      <w:br/>
                      <w:t xml:space="preserve">or </w:t>
                    </w:r>
                    <w:r>
                      <w:br/>
                      <w:t xml:space="preserve">Renewal </w:t>
                    </w:r>
                    <w:r>
                      <w:br/>
                      <w:t>application to NOPTA</w:t>
                    </w:r>
                  </w:p>
                </w:txbxContent>
              </v:textbox>
            </v:shape>
            <v:shape id="Text Box 2" o:spid="_x0000_s1028" type="#_x0000_t202" style="position:absolute;left:22669;width:16586;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u8MEA&#10;AADaAAAADwAAAGRycy9kb3ducmV2LnhtbESPQWsCMRSE7wX/Q3iCt5qtYpHVKMW2IHjSroK3x+a5&#10;G9y8rEmq6783QqHHYWa+YebLzjbiSj4YxwrehhkI4tJpw5WC4uf7dQoiRGSNjWNScKcAy0XvZY65&#10;djfe0nUXK5EgHHJUUMfY5lKGsiaLYeha4uSdnLcYk/SV1B5vCW4bOcqyd2nRcFqosaVVTeV592sV&#10;NBvnPw/4dZyY/Zq4uIwLM2WlBv3uYwYiUhf/w3/ttVYwgueVd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6bvDBAAAA2gAAAA8AAAAAAAAAAAAAAAAAmAIAAGRycy9kb3du&#10;cmV2LnhtbFBLBQYAAAAABAAEAPUAAACGAwAAAAA=&#10;" fillcolor="#4f81bd [3204]" strokecolor="#243f60 [1604]" strokeweight="2pt">
              <v:textbox>
                <w:txbxContent>
                  <w:p w:rsidR="00A9751D" w:rsidRDefault="00A9751D" w:rsidP="001B25EE">
                    <w:pPr>
                      <w:jc w:val="center"/>
                    </w:pPr>
                    <w:r w:rsidRPr="00AF38CB">
                      <w:t>Prior Usage Right Extension Consent Application to Parks Australia</w:t>
                    </w:r>
                  </w:p>
                </w:txbxContent>
              </v:textbox>
            </v:shape>
            <v:shape id="Text Box 7" o:spid="_x0000_s1029" type="#_x0000_t202" style="position:absolute;left:22669;top:16478;width:16897;height:14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3NaMIA&#10;AADaAAAADwAAAGRycy9kb3ducmV2LnhtbESPQWsCMRSE7wX/Q3iCt5q1UpXVKKIWhJ5qV8HbY/Pc&#10;DW5etkmq23/fFIQeh5n5hlmsOtuIG/lgHCsYDTMQxKXThisFxefb8wxEiMgaG8ek4IcCrJa9pwXm&#10;2t35g26HWIkE4ZCjgjrGNpcylDVZDEPXEifv4rzFmKSvpPZ4T3DbyJcsm0iLhtNCjS1taiqvh2+r&#10;oHl3fnvC3fnVHPfExde4MDNWatDv1nMQkbr4H36091rBFP6upBs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c1owgAAANoAAAAPAAAAAAAAAAAAAAAAAJgCAABkcnMvZG93&#10;bnJldi54bWxQSwUGAAAAAAQABAD1AAAAhwMAAAAA&#10;" fillcolor="#4f81bd [3204]" strokecolor="#243f60 [1604]" strokeweight="2pt">
              <v:textbox>
                <w:txbxContent>
                  <w:p w:rsidR="00A9751D" w:rsidRDefault="00A9751D" w:rsidP="001B25EE">
                    <w:pPr>
                      <w:spacing w:after="0"/>
                      <w:jc w:val="center"/>
                    </w:pPr>
                    <w:r w:rsidRPr="00AF38CB">
                      <w:t>Minister for the Env</w:t>
                    </w:r>
                    <w:r>
                      <w:t>ironment considers application</w:t>
                    </w:r>
                  </w:p>
                  <w:p w:rsidR="00A9751D" w:rsidRDefault="00A9751D" w:rsidP="001B25EE">
                    <w:pPr>
                      <w:spacing w:after="0"/>
                      <w:jc w:val="center"/>
                    </w:pPr>
                    <w:r>
                      <w:t xml:space="preserve">If necessary, </w:t>
                    </w:r>
                    <w:r w:rsidRPr="00AF38CB">
                      <w:t>Minister for the Env</w:t>
                    </w:r>
                    <w:r>
                      <w:t>ironment consults with Titleholder</w:t>
                    </w:r>
                  </w:p>
                </w:txbxContent>
              </v:textbox>
            </v:shape>
            <v:shape id="Text Box 8" o:spid="_x0000_s1030" type="#_x0000_t202" style="position:absolute;left:95;top:16383;width:16897;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ZGr8A&#10;AADaAAAADwAAAGRycy9kb3ducmV2LnhtbERPz2vCMBS+D/wfwhO8zVTFUTrTMtSBsNNcJ3h7NG9t&#10;WPNSk0y7/94cBjt+fL831Wh7cSUfjGMFi3kGgrhx2nCroP54fcxBhIissXdMCn4pQFVOHjZYaHfj&#10;d7oeYytSCIcCFXQxDoWUoenIYpi7gThxX85bjAn6VmqPtxRue7nMsidp0XBq6HCgbUfN9/HHKujf&#10;nN+dcH9em88DcX1Z1SZnpWbT8eUZRKQx/ov/3AetIG1NV9INk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ElkavwAAANoAAAAPAAAAAAAAAAAAAAAAAJgCAABkcnMvZG93bnJl&#10;di54bWxQSwUGAAAAAAQABAD1AAAAhAMAAAAA&#10;" fillcolor="#4f81bd [3204]" strokecolor="#243f60 [1604]" strokeweight="2pt">
              <v:textbox>
                <w:txbxContent>
                  <w:p w:rsidR="00A9751D" w:rsidRDefault="00A9751D" w:rsidP="001B25EE">
                    <w:pPr>
                      <w:spacing w:after="0"/>
                      <w:jc w:val="center"/>
                    </w:pPr>
                    <w:r>
                      <w:t>Joint Authority considers application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31" type="#_x0000_t67" style="position:absolute;left:6286;top:9239;width:4147;height:6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W1BcIA&#10;AADaAAAADwAAAGRycy9kb3ducmV2LnhtbESPQWsCMRSE70L/Q3iFXqRm60F0NYoKpQVP6tLz281z&#10;s7h5WTap2f77RhA8DjPzDbPaDLYVN+p941jBxyQDQVw53XCtoDh/vs9B+ICssXVMCv7Iw2b9Mlph&#10;rl3kI91OoRYJwj5HBSaELpfSV4Ys+onriJN3cb3FkGRfS91jTHDbymmWzaTFhtOCwY72hqrr6dcq&#10;iPuIU7OLxaFYjOvwk5W7L1cq9fY6bJcgAg3hGX60v7WCGdyvp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bUFwgAAANoAAAAPAAAAAAAAAAAAAAAAAJgCAABkcnMvZG93&#10;bnJldi54bWxQSwUGAAAAAAQABAD1AAAAhwMAAAAA&#10;" adj="15094" fillcolor="#a7bfde [1620]" strokecolor="#4579b8 [3044]">
              <v:fill color2="#e4ecf5 [500]" rotate="t" angle="180" colors="0 #a3c4ff;22938f #bfd5ff;1 #e5eeff" focus="100%" type="gradient"/>
              <v:shadow on="t" color="black" opacity="24903f" origin=",.5" offset="0,.55556mm"/>
            </v:shape>
            <v:shape id="Down Arrow 5" o:spid="_x0000_s1032" type="#_x0000_t67" style="position:absolute;left:28575;top:9239;width:4146;height:6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L8pscA&#10;AADaAAAADwAAAGRycy9kb3ducmV2LnhtbESPT2vCQBTE74LfYXlCL0U3FmxtdBVrUcRD8U8LPb5k&#10;n0kw+zZkV41+erdQ8DjMzG+Y8bQxpThT7QrLCvq9CARxanXBmYLv/aI7BOE8ssbSMim4koPppN0a&#10;Y6zthbd03vlMBAi7GBXk3lexlC7NyaDr2Yo4eAdbG/RB1pnUNV4C3JTyJYpepcGCw0KOFc1zSo+7&#10;k1Hwk6wPm4/f+XX/9p4tn5PBLfpKPpV66jSzEQhPjX+E/9srrWAAf1fCDZ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C/KbHAAAA2gAAAA8AAAAAAAAAAAAAAAAAmAIAAGRy&#10;cy9kb3ducmV2LnhtbFBLBQYAAAAABAAEAPUAAACMAwAAAAA=&#10;" adj="15183" fillcolor="#a7bfde [1620]" strokecolor="#4579b8 [3044]">
              <v:fill color2="#e4ecf5 [500]" rotate="t" angle="180" colors="0 #a3c4ff;22938f #bfd5ff;1 #e5eeff" focus="100%" type="gradient"/>
              <v:shadow on="t" color="black" opacity="24903f" origin=",.5" offset="0,.55556mm"/>
            </v:shape>
            <v:shape id="Text Box 15" o:spid="_x0000_s1033" type="#_x0000_t202" style="position:absolute;top:60102;width:16897;height:8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tsEA&#10;AADbAAAADwAAAGRycy9kb3ducmV2LnhtbERP32vCMBB+H/g/hBP2NtNtKFKNMtwGhT1Nq+Db0Zxt&#10;sLnUJLPdf78MBN/u4/t5y/VgW3ElH4xjBc+TDARx5bThWkG5+3yagwgRWWPrmBT8UoD1avSwxFy7&#10;nr/puo21SCEcclTQxNjlUoaqIYth4jrixJ2ctxgT9LXUHvsUblv5kmUzadFwamiwo01D1Xn7YxW0&#10;X86/H/DjODX7gri8vJZmzko9joe3BYhIQ7yLb+5Cp/lT+P8lHS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mo7bBAAAA2wAAAA8AAAAAAAAAAAAAAAAAmAIAAGRycy9kb3du&#10;cmV2LnhtbFBLBQYAAAAABAAEAPUAAACGAwAAAAA=&#10;" fillcolor="#4f81bd [3204]" strokecolor="#243f60 [1604]" strokeweight="2pt">
              <v:textbox>
                <w:txbxContent>
                  <w:p w:rsidR="00A9751D" w:rsidRDefault="00A9751D" w:rsidP="001B25EE">
                    <w:pPr>
                      <w:spacing w:after="0"/>
                      <w:jc w:val="center"/>
                    </w:pPr>
                    <w:r>
                      <w:t>Joint Authority grants/refuses application</w:t>
                    </w:r>
                  </w:p>
                </w:txbxContent>
              </v:textbox>
            </v:shape>
            <v:shape id="Text Box 13" o:spid="_x0000_s1034" type="#_x0000_t202" style="position:absolute;left:22669;top:37623;width:16897;height:14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OeWcAA&#10;AADbAAAADwAAAGRycy9kb3ducmV2LnhtbERPTWsCMRC9F/wPYQRvNduKRVajFFtB8KRdBW/DZtwN&#10;biZrkur6741Q6G0e73Nmi8424ko+GMcK3oYZCOLSacOVguJn9ToBESKyxsYxKbhTgMW89zLDXLsb&#10;b+m6i5VIIRxyVFDH2OZShrImi2HoWuLEnZy3GBP0ldQebyncNvI9yz6kRcOpocaWljWV592vVdBs&#10;nP864PdxbPZr4uIyKsyElRr0u88piEhd/Bf/udc6zR/B85d0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OeWcAAAADbAAAADwAAAAAAAAAAAAAAAACYAgAAZHJzL2Rvd25y&#10;ZXYueG1sUEsFBgAAAAAEAAQA9QAAAIUDAAAAAA==&#10;" fillcolor="#4f81bd [3204]" strokecolor="#243f60 [1604]" strokeweight="2pt">
              <v:textbox>
                <w:txbxContent>
                  <w:p w:rsidR="00A9751D" w:rsidRPr="0098151B" w:rsidDel="00721BF6" w:rsidRDefault="00A9751D" w:rsidP="00721BF6">
                    <w:pPr>
                      <w:spacing w:after="0"/>
                      <w:jc w:val="center"/>
                    </w:pPr>
                    <w:r>
                      <w:t>Minister for the Environment</w:t>
                    </w:r>
                    <w:proofErr w:type="gramStart"/>
                    <w:r>
                      <w:t>:</w:t>
                    </w:r>
                    <w:proofErr w:type="gramEnd"/>
                    <w:r>
                      <w:br/>
                    </w:r>
                    <w:r w:rsidRPr="0098151B">
                      <w:t>provides consent, with or without conditions</w:t>
                    </w:r>
                    <w:r>
                      <w:br/>
                    </w:r>
                    <w:r w:rsidRPr="00FF1A57">
                      <w:rPr>
                        <w:u w:val="single"/>
                      </w:rPr>
                      <w:t>or</w:t>
                    </w:r>
                    <w:r w:rsidRPr="0098151B">
                      <w:br/>
                    </w:r>
                    <w:r w:rsidRPr="00FE00FC">
                      <w:t>does not give  consent</w:t>
                    </w:r>
                  </w:p>
                  <w:p w:rsidR="00A9751D" w:rsidRDefault="00A9751D" w:rsidP="00FF3FDB">
                    <w:pPr>
                      <w:spacing w:after="0"/>
                      <w:jc w:val="center"/>
                    </w:pPr>
                  </w:p>
                </w:txbxContent>
              </v:textbox>
            </v:shape>
            <v:shape id="Down Arrow 12" o:spid="_x0000_s1035" type="#_x0000_t67" style="position:absolute;left:28575;top:30575;width:4146;height:6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cl8UA&#10;AADbAAAADwAAAGRycy9kb3ducmV2LnhtbERPS2vCQBC+C/6HZYReim4q1NroKq2iiIfio4UeJ9kx&#10;CWZnQ3bV6K/vCgVv8/E9ZzxtTCnOVLvCsoKXXgSCOLW64EzB937RHYJwHlljaZkUXMnBdNJujTHW&#10;9sJbOu98JkIIuxgV5N5XsZQuzcmg69mKOHAHWxv0AdaZ1DVeQrgpZT+KBtJgwaEhx4pmOaXH3cko&#10;+EnWh83n7+y6f3vPls/J6y36SuZKPXWajxEIT41/iP/dKx3m9+H+Szh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xyXxQAAANsAAAAPAAAAAAAAAAAAAAAAAJgCAABkcnMv&#10;ZG93bnJldi54bWxQSwUGAAAAAAQABAD1AAAAigMAAAAA&#10;" adj="15183" fillcolor="#a7bfde [1620]" strokecolor="#4579b8 [3044]">
              <v:fill color2="#e4ecf5 [500]" rotate="t" angle="180" colors="0 #a3c4ff;22938f #bfd5ff;1 #e5eeff" focus="100%" type="gradient"/>
              <v:shadow on="t" color="black" opacity="24903f" origin=",.5" offset="0,.55556mm"/>
            </v:shape>
            <v:shape id="Down Arrow 11" o:spid="_x0000_s1036" type="#_x0000_t67" style="position:absolute;left:6286;top:25622;width:4147;height:3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sCcMAA&#10;AADbAAAADwAAAGRycy9kb3ducmV2LnhtbERPTWsCMRC9F/wPYYTeanY9SFmNIoJob64KrbdxM24W&#10;N5MlSdftv28KBW/zeJ+zWA22FT350DhWkE8yEMSV0w3XCs6n7ds7iBCRNbaOScEPBVgtRy8LLLR7&#10;cEn9MdYihXAoUIGJsSukDJUhi2HiOuLE3Zy3GBP0tdQeHynctnKaZTNpseHUYLCjjaHqfvy2CqbX&#10;Tf7VHkpDpe493naXz5P+UOp1PKznICIN8Sn+d+91mp/D3y/pAL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sCcMAAAADbAAAADwAAAAAAAAAAAAAAAACYAgAAZHJzL2Rvd25y&#10;ZXYueG1sUEsFBgAAAAAEAAQA9QAAAIUDAAAAAA==&#10;" adj="20301" fillcolor="#a7bfde [1620]" strokecolor="#4579b8 [3044]">
              <v:fill color2="#e4ecf5 [500]" rotate="t" angle="180" colors="0 #a3c4ff;22938f #bfd5ff;1 #e5eeff" focus="100%" type="gradient"/>
              <v:shadow on="t" color="black" opacity="24903f" origin=",.5" offset="0,.55556mm"/>
            </v:shape>
            <v:shape id="Bent Arrow 14" o:spid="_x0000_s1037" style="position:absolute;left:16954;top:52101;width:15253;height:11811;rotation:180;visibility:visible;mso-wrap-style:square;v-text-anchor:middle" coordsize="1525270,118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JUp8MA&#10;AADbAAAADwAAAGRycy9kb3ducmV2LnhtbERP20rDQBB9F/yHZQTf7MYqNqTZFhHFUmnRKH0espML&#10;Zmdjdptu+/WuIPRtDuc6+TKYTow0uNaygttJAoK4tLrlWsHX58tNCsJ5ZI2dZVJwJAfLxeVFjpm2&#10;B/6gsfC1iCHsMlTQeN9nUrqyIYNuYnviyFV2MOgjHGqpBzzEcNPJaZI8SIMtx4YGe3pqqPwu9kbB&#10;+89zuBu361NVvO0onb7qU5htlLq+Co9zEJ6CP4v/3Ssd59/D3y/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JUp8MAAADbAAAADwAAAAAAAAAAAAAAAACYAgAAZHJzL2Rv&#10;d25yZXYueG1sUEsFBgAAAAAEAAQA9QAAAIgDAAAAAA==&#10;" path="m,1181100l,781050c,406223,303857,102366,678684,102366r598933,l1277617,r247653,209740l1277617,419479r,-102365l678684,317114v-256225,,-463936,207711,-463936,463936l214748,1181100,,1181100xe" fillcolor="#a7bfde [1620]" strokecolor="#4579b8 [3044]">
              <v:fill color2="#e4ecf5 [500]" rotate="t" angle="180" colors="0 #a3c4ff;22938f #bfd5ff;1 #e5eeff" focus="100%" type="gradient"/>
              <v:shadow on="t" color="black" opacity="24903f" origin=",.5" offset="0,.55556mm"/>
              <v:path arrowok="t" o:connecttype="custom" o:connectlocs="0,1181100;0,781050;678684,102366;1277617,102366;1277617,0;1525270,209740;1277617,419479;1277617,317114;678684,317114;214748,781050;214748,1181100;0,1181100" o:connectangles="0,0,0,0,0,0,0,0,0,0,0,0"/>
            </v:shape>
          </v:group>
        </w:pict>
      </w:r>
      <w:r w:rsidR="001B25EE">
        <w:rPr>
          <w:rFonts w:cs="Arial"/>
          <w:b/>
          <w:bCs/>
          <w:color w:val="1F497D" w:themeColor="text2"/>
          <w:sz w:val="32"/>
          <w:szCs w:val="32"/>
        </w:rPr>
        <w:br/>
      </w:r>
      <w:r w:rsidR="001B25EE" w:rsidRPr="002619FC">
        <w:rPr>
          <w:rFonts w:cs="Arial"/>
          <w:b/>
          <w:bCs/>
          <w:color w:val="1F497D" w:themeColor="text2"/>
          <w:sz w:val="32"/>
          <w:szCs w:val="32"/>
        </w:rPr>
        <w:t xml:space="preserve">Titleholder </w:t>
      </w:r>
      <w:r w:rsidR="001B25EE">
        <w:rPr>
          <w:rFonts w:cs="Arial"/>
          <w:b/>
          <w:bCs/>
          <w:color w:val="1F497D" w:themeColor="text2"/>
          <w:sz w:val="32"/>
          <w:szCs w:val="32"/>
        </w:rPr>
        <w:br/>
      </w:r>
      <w:r w:rsidR="001B25EE" w:rsidRPr="002619FC">
        <w:rPr>
          <w:rFonts w:cs="Arial"/>
          <w:b/>
          <w:bCs/>
          <w:color w:val="1F497D" w:themeColor="text2"/>
          <w:sz w:val="32"/>
          <w:szCs w:val="32"/>
        </w:rPr>
        <w:t>Application</w:t>
      </w:r>
    </w:p>
    <w:p w:rsidR="001B25EE" w:rsidRDefault="001B25EE" w:rsidP="001B25EE">
      <w:pPr>
        <w:pStyle w:val="List2"/>
        <w:tabs>
          <w:tab w:val="left" w:pos="0"/>
          <w:tab w:val="left" w:pos="8080"/>
        </w:tabs>
        <w:rPr>
          <w:rFonts w:cs="Arial"/>
          <w:bCs/>
        </w:rPr>
      </w:pPr>
    </w:p>
    <w:p w:rsidR="001B25EE" w:rsidRDefault="001B25EE" w:rsidP="001B25EE">
      <w:pPr>
        <w:pStyle w:val="List2"/>
        <w:tabs>
          <w:tab w:val="left" w:pos="0"/>
          <w:tab w:val="left" w:pos="8080"/>
        </w:tabs>
        <w:rPr>
          <w:rFonts w:cs="Arial"/>
          <w:bCs/>
        </w:rPr>
      </w:pPr>
    </w:p>
    <w:p w:rsidR="001B25EE" w:rsidRDefault="001B25EE" w:rsidP="001B25EE">
      <w:pPr>
        <w:pStyle w:val="List2"/>
        <w:tabs>
          <w:tab w:val="left" w:pos="0"/>
          <w:tab w:val="left" w:pos="8080"/>
        </w:tabs>
        <w:rPr>
          <w:rFonts w:cs="Arial"/>
          <w:bCs/>
        </w:rPr>
      </w:pPr>
    </w:p>
    <w:p w:rsidR="00A51657" w:rsidRDefault="00A51657" w:rsidP="001B25EE">
      <w:pPr>
        <w:pStyle w:val="List2"/>
        <w:tabs>
          <w:tab w:val="left" w:pos="0"/>
          <w:tab w:val="left" w:pos="8080"/>
        </w:tabs>
        <w:rPr>
          <w:rFonts w:cs="Arial"/>
          <w:bCs/>
        </w:rPr>
      </w:pPr>
    </w:p>
    <w:p w:rsidR="00A51657" w:rsidRDefault="00A51657" w:rsidP="001B25EE">
      <w:pPr>
        <w:pStyle w:val="List2"/>
        <w:tabs>
          <w:tab w:val="left" w:pos="0"/>
          <w:tab w:val="left" w:pos="8080"/>
        </w:tabs>
        <w:rPr>
          <w:rFonts w:cs="Arial"/>
          <w:bCs/>
        </w:rPr>
      </w:pPr>
    </w:p>
    <w:p w:rsidR="00A51657" w:rsidRDefault="00A51657" w:rsidP="001B25EE">
      <w:pPr>
        <w:pStyle w:val="List2"/>
        <w:tabs>
          <w:tab w:val="left" w:pos="0"/>
          <w:tab w:val="left" w:pos="8080"/>
        </w:tabs>
        <w:rPr>
          <w:rFonts w:cs="Arial"/>
          <w:bCs/>
        </w:rPr>
      </w:pPr>
    </w:p>
    <w:p w:rsidR="001B25EE" w:rsidRDefault="001B25EE" w:rsidP="001B25EE">
      <w:pPr>
        <w:pStyle w:val="List2"/>
        <w:tabs>
          <w:tab w:val="left" w:pos="0"/>
          <w:tab w:val="left" w:pos="8080"/>
        </w:tabs>
        <w:rPr>
          <w:rFonts w:cs="Arial"/>
          <w:bCs/>
        </w:rPr>
      </w:pPr>
    </w:p>
    <w:p w:rsidR="001B25EE" w:rsidRPr="002619FC" w:rsidRDefault="001B25EE" w:rsidP="001B25EE">
      <w:pPr>
        <w:pStyle w:val="List2"/>
        <w:tabs>
          <w:tab w:val="left" w:pos="0"/>
          <w:tab w:val="left" w:pos="8080"/>
        </w:tabs>
        <w:rPr>
          <w:rFonts w:cs="Arial"/>
          <w:b/>
          <w:bCs/>
          <w:color w:val="1F497D" w:themeColor="text2"/>
          <w:sz w:val="32"/>
          <w:szCs w:val="32"/>
        </w:rPr>
      </w:pPr>
      <w:r w:rsidRPr="002619FC">
        <w:rPr>
          <w:rFonts w:cs="Arial"/>
          <w:b/>
          <w:bCs/>
          <w:color w:val="1F497D" w:themeColor="text2"/>
          <w:sz w:val="32"/>
          <w:szCs w:val="32"/>
        </w:rPr>
        <w:t>Consideration</w:t>
      </w:r>
    </w:p>
    <w:p w:rsidR="001B25EE" w:rsidRDefault="001B25EE" w:rsidP="001B25EE">
      <w:pPr>
        <w:pStyle w:val="List2"/>
        <w:tabs>
          <w:tab w:val="left" w:pos="0"/>
          <w:tab w:val="left" w:pos="7088"/>
          <w:tab w:val="left" w:pos="8080"/>
        </w:tabs>
        <w:rPr>
          <w:rFonts w:cs="Arial"/>
          <w:b/>
          <w:bCs/>
        </w:rPr>
      </w:pPr>
    </w:p>
    <w:p w:rsidR="001B25EE" w:rsidRDefault="001B25EE" w:rsidP="001B25EE">
      <w:pPr>
        <w:pStyle w:val="List2"/>
        <w:tabs>
          <w:tab w:val="left" w:pos="0"/>
          <w:tab w:val="left" w:pos="3544"/>
          <w:tab w:val="left" w:pos="8080"/>
        </w:tabs>
        <w:rPr>
          <w:rFonts w:cs="Arial"/>
          <w:b/>
          <w:bCs/>
        </w:rPr>
      </w:pPr>
    </w:p>
    <w:p w:rsidR="001B25EE" w:rsidRDefault="001B25EE" w:rsidP="001B25EE">
      <w:pPr>
        <w:pStyle w:val="List2"/>
        <w:tabs>
          <w:tab w:val="left" w:pos="0"/>
          <w:tab w:val="left" w:pos="8080"/>
        </w:tabs>
        <w:rPr>
          <w:rFonts w:cs="Arial"/>
          <w:b/>
          <w:bCs/>
        </w:rPr>
      </w:pPr>
    </w:p>
    <w:p w:rsidR="001B25EE" w:rsidRDefault="001B25EE" w:rsidP="001B25EE">
      <w:pPr>
        <w:pStyle w:val="List2"/>
        <w:tabs>
          <w:tab w:val="left" w:pos="0"/>
          <w:tab w:val="left" w:pos="8080"/>
        </w:tabs>
        <w:rPr>
          <w:rFonts w:cs="Arial"/>
          <w:b/>
          <w:bCs/>
        </w:rPr>
      </w:pPr>
    </w:p>
    <w:p w:rsidR="001B25EE" w:rsidRDefault="001B25EE" w:rsidP="001B25EE">
      <w:pPr>
        <w:pStyle w:val="List2"/>
        <w:tabs>
          <w:tab w:val="left" w:pos="0"/>
          <w:tab w:val="left" w:pos="8080"/>
        </w:tabs>
        <w:rPr>
          <w:rFonts w:cs="Arial"/>
          <w:b/>
          <w:bCs/>
        </w:rPr>
      </w:pPr>
    </w:p>
    <w:p w:rsidR="001B25EE" w:rsidRDefault="001B25EE" w:rsidP="001B25EE">
      <w:pPr>
        <w:pStyle w:val="List2"/>
        <w:tabs>
          <w:tab w:val="left" w:pos="0"/>
          <w:tab w:val="left" w:pos="8080"/>
        </w:tabs>
        <w:rPr>
          <w:rFonts w:cs="Arial"/>
          <w:b/>
          <w:bCs/>
        </w:rPr>
      </w:pPr>
    </w:p>
    <w:p w:rsidR="00A51657" w:rsidRDefault="00A51657" w:rsidP="001B25EE">
      <w:pPr>
        <w:pStyle w:val="List2"/>
        <w:tabs>
          <w:tab w:val="left" w:pos="0"/>
          <w:tab w:val="left" w:pos="8080"/>
        </w:tabs>
        <w:rPr>
          <w:rFonts w:cs="Arial"/>
          <w:b/>
          <w:bCs/>
        </w:rPr>
      </w:pPr>
    </w:p>
    <w:p w:rsidR="00A51657" w:rsidRDefault="00A51657" w:rsidP="001B25EE">
      <w:pPr>
        <w:pStyle w:val="List2"/>
        <w:tabs>
          <w:tab w:val="left" w:pos="0"/>
          <w:tab w:val="left" w:pos="8080"/>
        </w:tabs>
        <w:rPr>
          <w:rFonts w:cs="Arial"/>
          <w:b/>
          <w:bCs/>
        </w:rPr>
      </w:pPr>
    </w:p>
    <w:p w:rsidR="00A51657" w:rsidRDefault="00A51657" w:rsidP="001B25EE">
      <w:pPr>
        <w:pStyle w:val="List2"/>
        <w:tabs>
          <w:tab w:val="left" w:pos="0"/>
          <w:tab w:val="left" w:pos="8080"/>
        </w:tabs>
        <w:rPr>
          <w:rFonts w:cs="Arial"/>
          <w:b/>
          <w:bCs/>
        </w:rPr>
      </w:pPr>
    </w:p>
    <w:p w:rsidR="00A51657" w:rsidRDefault="00A51657" w:rsidP="001B25EE">
      <w:pPr>
        <w:pStyle w:val="List2"/>
        <w:tabs>
          <w:tab w:val="left" w:pos="0"/>
          <w:tab w:val="left" w:pos="8080"/>
        </w:tabs>
        <w:rPr>
          <w:rFonts w:cs="Arial"/>
          <w:b/>
          <w:bCs/>
        </w:rPr>
      </w:pPr>
    </w:p>
    <w:p w:rsidR="001B25EE" w:rsidRDefault="001B25EE" w:rsidP="001B25EE">
      <w:pPr>
        <w:pStyle w:val="List2"/>
        <w:tabs>
          <w:tab w:val="left" w:pos="0"/>
          <w:tab w:val="left" w:pos="8080"/>
        </w:tabs>
        <w:rPr>
          <w:rFonts w:cs="Arial"/>
          <w:b/>
          <w:bCs/>
        </w:rPr>
      </w:pPr>
    </w:p>
    <w:p w:rsidR="001B25EE" w:rsidRPr="002619FC" w:rsidRDefault="001B25EE" w:rsidP="001B25EE">
      <w:pPr>
        <w:pStyle w:val="List2"/>
        <w:tabs>
          <w:tab w:val="left" w:pos="0"/>
          <w:tab w:val="left" w:pos="8080"/>
        </w:tabs>
        <w:rPr>
          <w:rFonts w:cs="Arial"/>
          <w:b/>
          <w:bCs/>
          <w:color w:val="1F497D" w:themeColor="text2"/>
          <w:sz w:val="32"/>
          <w:szCs w:val="32"/>
        </w:rPr>
      </w:pPr>
      <w:r w:rsidRPr="002619FC">
        <w:rPr>
          <w:rFonts w:cs="Arial"/>
          <w:b/>
          <w:bCs/>
          <w:color w:val="1F497D" w:themeColor="text2"/>
          <w:sz w:val="32"/>
          <w:szCs w:val="32"/>
        </w:rPr>
        <w:t>Consent</w:t>
      </w:r>
    </w:p>
    <w:p w:rsidR="001B25EE" w:rsidRDefault="001B25EE" w:rsidP="001B25EE">
      <w:pPr>
        <w:pStyle w:val="List2"/>
        <w:tabs>
          <w:tab w:val="left" w:pos="0"/>
          <w:tab w:val="left" w:pos="8080"/>
        </w:tabs>
        <w:rPr>
          <w:rFonts w:cs="Arial"/>
          <w:b/>
          <w:bCs/>
        </w:rPr>
      </w:pPr>
    </w:p>
    <w:p w:rsidR="001B25EE" w:rsidRDefault="001B25EE" w:rsidP="001B25EE">
      <w:pPr>
        <w:pStyle w:val="List2"/>
        <w:tabs>
          <w:tab w:val="left" w:pos="0"/>
          <w:tab w:val="left" w:pos="8080"/>
        </w:tabs>
        <w:rPr>
          <w:rFonts w:cs="Arial"/>
          <w:b/>
          <w:bCs/>
        </w:rPr>
      </w:pPr>
    </w:p>
    <w:p w:rsidR="001B25EE" w:rsidRDefault="001B25EE" w:rsidP="001B25EE">
      <w:pPr>
        <w:pStyle w:val="List2"/>
        <w:tabs>
          <w:tab w:val="left" w:pos="0"/>
          <w:tab w:val="left" w:pos="8080"/>
        </w:tabs>
        <w:rPr>
          <w:rFonts w:cs="Arial"/>
          <w:b/>
          <w:bCs/>
        </w:rPr>
      </w:pPr>
    </w:p>
    <w:p w:rsidR="001B25EE" w:rsidRDefault="001B25EE" w:rsidP="001B25EE">
      <w:pPr>
        <w:pStyle w:val="List2"/>
        <w:tabs>
          <w:tab w:val="left" w:pos="0"/>
          <w:tab w:val="left" w:pos="8080"/>
        </w:tabs>
        <w:rPr>
          <w:rFonts w:cs="Arial"/>
          <w:b/>
          <w:bCs/>
        </w:rPr>
      </w:pPr>
    </w:p>
    <w:p w:rsidR="001B25EE" w:rsidRDefault="001B25EE" w:rsidP="001B25EE">
      <w:pPr>
        <w:pStyle w:val="List2"/>
        <w:tabs>
          <w:tab w:val="left" w:pos="0"/>
          <w:tab w:val="left" w:pos="8080"/>
        </w:tabs>
        <w:rPr>
          <w:rFonts w:cs="Arial"/>
          <w:b/>
          <w:bCs/>
        </w:rPr>
      </w:pPr>
    </w:p>
    <w:p w:rsidR="001B25EE" w:rsidRDefault="001B25EE" w:rsidP="001B25EE">
      <w:pPr>
        <w:pStyle w:val="List2"/>
        <w:tabs>
          <w:tab w:val="left" w:pos="0"/>
          <w:tab w:val="left" w:pos="8080"/>
        </w:tabs>
        <w:rPr>
          <w:rFonts w:cs="Arial"/>
          <w:b/>
          <w:bCs/>
        </w:rPr>
      </w:pPr>
    </w:p>
    <w:p w:rsidR="00A51657" w:rsidRDefault="00A51657" w:rsidP="001B25EE">
      <w:pPr>
        <w:pStyle w:val="List2"/>
        <w:tabs>
          <w:tab w:val="left" w:pos="0"/>
          <w:tab w:val="left" w:pos="8080"/>
        </w:tabs>
        <w:rPr>
          <w:rFonts w:cs="Arial"/>
          <w:b/>
          <w:bCs/>
        </w:rPr>
      </w:pPr>
    </w:p>
    <w:p w:rsidR="00A51657" w:rsidRDefault="00A51657" w:rsidP="001B25EE">
      <w:pPr>
        <w:pStyle w:val="List2"/>
        <w:tabs>
          <w:tab w:val="left" w:pos="0"/>
          <w:tab w:val="left" w:pos="8080"/>
        </w:tabs>
        <w:rPr>
          <w:rFonts w:cs="Arial"/>
          <w:b/>
          <w:bCs/>
        </w:rPr>
      </w:pPr>
    </w:p>
    <w:p w:rsidR="001B25EE" w:rsidRDefault="001B25EE" w:rsidP="001B25EE">
      <w:pPr>
        <w:pStyle w:val="List2"/>
        <w:tabs>
          <w:tab w:val="left" w:pos="0"/>
          <w:tab w:val="left" w:pos="8080"/>
        </w:tabs>
        <w:rPr>
          <w:rFonts w:cs="Arial"/>
          <w:b/>
          <w:bCs/>
        </w:rPr>
      </w:pPr>
    </w:p>
    <w:p w:rsidR="00A51657" w:rsidRDefault="00A51657" w:rsidP="001B25EE">
      <w:pPr>
        <w:pStyle w:val="List2"/>
        <w:tabs>
          <w:tab w:val="left" w:pos="0"/>
          <w:tab w:val="left" w:pos="8080"/>
        </w:tabs>
        <w:rPr>
          <w:rFonts w:cs="Arial"/>
          <w:b/>
          <w:bCs/>
        </w:rPr>
      </w:pPr>
    </w:p>
    <w:p w:rsidR="001B25EE" w:rsidRPr="002619FC" w:rsidRDefault="001B25EE" w:rsidP="001B25EE">
      <w:pPr>
        <w:pStyle w:val="List2"/>
        <w:tabs>
          <w:tab w:val="left" w:pos="0"/>
          <w:tab w:val="left" w:pos="8080"/>
        </w:tabs>
        <w:rPr>
          <w:rFonts w:cs="Arial"/>
          <w:b/>
          <w:bCs/>
          <w:color w:val="1F497D" w:themeColor="text2"/>
          <w:sz w:val="32"/>
          <w:szCs w:val="32"/>
        </w:rPr>
      </w:pPr>
      <w:r w:rsidRPr="002619FC">
        <w:rPr>
          <w:rFonts w:cs="Arial"/>
          <w:b/>
          <w:bCs/>
          <w:color w:val="1F497D" w:themeColor="text2"/>
          <w:sz w:val="32"/>
          <w:szCs w:val="32"/>
        </w:rPr>
        <w:t>Grant</w:t>
      </w:r>
    </w:p>
    <w:sectPr w:rsidR="001B25EE" w:rsidRPr="002619FC" w:rsidSect="00FA4CF0">
      <w:headerReference w:type="even" r:id="rId18"/>
      <w:headerReference w:type="default" r:id="rId19"/>
      <w:footerReference w:type="even" r:id="rId20"/>
      <w:footerReference w:type="default" r:id="rId21"/>
      <w:headerReference w:type="first" r:id="rId22"/>
      <w:footerReference w:type="first" r:id="rId23"/>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DFF" w:rsidRDefault="00DF3DFF" w:rsidP="00A60185">
      <w:pPr>
        <w:spacing w:after="0" w:line="240" w:lineRule="auto"/>
      </w:pPr>
      <w:r>
        <w:separator/>
      </w:r>
    </w:p>
  </w:endnote>
  <w:endnote w:type="continuationSeparator" w:id="0">
    <w:p w:rsidR="00DF3DFF" w:rsidRDefault="00DF3DFF" w:rsidP="00A60185">
      <w:pPr>
        <w:spacing w:after="0" w:line="240" w:lineRule="auto"/>
      </w:pPr>
      <w:r>
        <w:continuationSeparator/>
      </w:r>
    </w:p>
  </w:endnote>
  <w:endnote w:type="continuationNotice" w:id="1">
    <w:p w:rsidR="00DF3DFF" w:rsidRDefault="00DF3DFF">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AE9" w:rsidRDefault="00AB4A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A9751D" w:rsidRDefault="00A2437E">
        <w:pPr>
          <w:pStyle w:val="Footer"/>
          <w:jc w:val="center"/>
        </w:pPr>
        <w:r>
          <w:fldChar w:fldCharType="begin"/>
        </w:r>
        <w:r w:rsidR="001553D1">
          <w:instrText xml:space="preserve"> PAGE   \* MERGEFORMAT </w:instrText>
        </w:r>
        <w:r>
          <w:fldChar w:fldCharType="separate"/>
        </w:r>
        <w:r w:rsidR="00621769">
          <w:rPr>
            <w:noProof/>
          </w:rPr>
          <w:t>2</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AE9" w:rsidRDefault="00AB4A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DFF" w:rsidRDefault="00DF3DFF" w:rsidP="00A60185">
      <w:pPr>
        <w:spacing w:after="0" w:line="240" w:lineRule="auto"/>
      </w:pPr>
      <w:r>
        <w:separator/>
      </w:r>
    </w:p>
  </w:footnote>
  <w:footnote w:type="continuationSeparator" w:id="0">
    <w:p w:rsidR="00DF3DFF" w:rsidRDefault="00DF3DFF" w:rsidP="00A60185">
      <w:pPr>
        <w:spacing w:after="0" w:line="240" w:lineRule="auto"/>
      </w:pPr>
      <w:r>
        <w:continuationSeparator/>
      </w:r>
    </w:p>
  </w:footnote>
  <w:footnote w:type="continuationNotice" w:id="1">
    <w:p w:rsidR="00DF3DFF" w:rsidRDefault="00DF3DF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1D" w:rsidRDefault="00A9751D"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AE9" w:rsidRDefault="00AB4A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51D" w:rsidRPr="00F60196" w:rsidRDefault="00A9751D" w:rsidP="00F60196">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E392705"/>
    <w:multiLevelType w:val="hybridMultilevel"/>
    <w:tmpl w:val="57167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1EE4C0D"/>
    <w:multiLevelType w:val="hybridMultilevel"/>
    <w:tmpl w:val="A28EB0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5E32C4B"/>
    <w:multiLevelType w:val="multilevel"/>
    <w:tmpl w:val="033EE35A"/>
    <w:lvl w:ilvl="0">
      <w:start w:val="1"/>
      <w:numFmt w:val="decimal"/>
      <w:lvlText w:val="%1."/>
      <w:lvlJc w:val="left"/>
      <w:pPr>
        <w:ind w:left="360" w:hanging="360"/>
      </w:pPr>
      <w:rPr>
        <w:rFonts w:hint="default"/>
        <w:b/>
        <w:i w:val="0"/>
        <w:sz w:val="32"/>
      </w:rPr>
    </w:lvl>
    <w:lvl w:ilvl="1">
      <w:start w:val="1"/>
      <w:numFmt w:val="decimal"/>
      <w:lvlText w:val="%1.%2."/>
      <w:lvlJc w:val="left"/>
      <w:pPr>
        <w:ind w:left="574" w:hanging="432"/>
      </w:pPr>
      <w:rPr>
        <w:rFonts w:ascii="Arial" w:hAnsi="Arial" w:cs="Arial" w:hint="default"/>
        <w:b w:val="0"/>
        <w:i w:val="0"/>
        <w:sz w:val="22"/>
        <w:szCs w:val="22"/>
      </w:rPr>
    </w:lvl>
    <w:lvl w:ilvl="2">
      <w:start w:val="1"/>
      <w:numFmt w:val="lowerLetter"/>
      <w:lvlText w:val="%3)"/>
      <w:lvlJc w:val="left"/>
      <w:pPr>
        <w:ind w:left="1224" w:hanging="504"/>
      </w:pPr>
      <w:rPr>
        <w:rFonts w:ascii="Arial" w:hAnsi="Arial" w:cs="Arial" w:hint="default"/>
        <w:b w:val="0"/>
        <w:i w:val="0"/>
        <w:sz w:val="22"/>
        <w:szCs w:val="22"/>
      </w:rPr>
    </w:lvl>
    <w:lvl w:ilvl="3">
      <w:start w:val="1"/>
      <w:numFmt w:val="bullet"/>
      <w:lvlText w:val=""/>
      <w:lvlJc w:val="left"/>
      <w:pPr>
        <w:ind w:left="1925"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5456429"/>
    <w:multiLevelType w:val="multilevel"/>
    <w:tmpl w:val="E898CC72"/>
    <w:numStyleLink w:val="KeyPoints"/>
  </w:abstractNum>
  <w:abstractNum w:abstractNumId="8">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0"/>
  </w:num>
  <w:num w:numId="3">
    <w:abstractNumId w:val="3"/>
  </w:num>
  <w:num w:numId="4">
    <w:abstractNumId w:val="2"/>
  </w:num>
  <w:num w:numId="5">
    <w:abstractNumId w:val="7"/>
  </w:num>
  <w:num w:numId="6">
    <w:abstractNumId w:val="1"/>
  </w:num>
  <w:num w:numId="7">
    <w:abstractNumId w:val="6"/>
  </w:num>
  <w:num w:numId="8">
    <w:abstractNumId w:val="5"/>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rsids>
    <w:rsidRoot w:val="006C248B"/>
    <w:rsid w:val="00004AEE"/>
    <w:rsid w:val="00005CAA"/>
    <w:rsid w:val="00006C66"/>
    <w:rsid w:val="00010210"/>
    <w:rsid w:val="00012D66"/>
    <w:rsid w:val="00015ADA"/>
    <w:rsid w:val="00020C99"/>
    <w:rsid w:val="0002707B"/>
    <w:rsid w:val="000355D2"/>
    <w:rsid w:val="0005148E"/>
    <w:rsid w:val="00072C5A"/>
    <w:rsid w:val="000759E5"/>
    <w:rsid w:val="00084AC6"/>
    <w:rsid w:val="00085FF9"/>
    <w:rsid w:val="00091608"/>
    <w:rsid w:val="0009333C"/>
    <w:rsid w:val="0009704F"/>
    <w:rsid w:val="000A0F11"/>
    <w:rsid w:val="000A125A"/>
    <w:rsid w:val="000A57CD"/>
    <w:rsid w:val="000B3758"/>
    <w:rsid w:val="000B7681"/>
    <w:rsid w:val="000B7B42"/>
    <w:rsid w:val="000C02B7"/>
    <w:rsid w:val="000C5100"/>
    <w:rsid w:val="000C5342"/>
    <w:rsid w:val="000C706A"/>
    <w:rsid w:val="000D1D88"/>
    <w:rsid w:val="000D2887"/>
    <w:rsid w:val="000D6D63"/>
    <w:rsid w:val="000E0081"/>
    <w:rsid w:val="000E07CF"/>
    <w:rsid w:val="000E0ABD"/>
    <w:rsid w:val="000E31C1"/>
    <w:rsid w:val="000F2CF2"/>
    <w:rsid w:val="00100BEF"/>
    <w:rsid w:val="001047DE"/>
    <w:rsid w:val="00111326"/>
    <w:rsid w:val="0011498E"/>
    <w:rsid w:val="00117A45"/>
    <w:rsid w:val="001224AE"/>
    <w:rsid w:val="00122E43"/>
    <w:rsid w:val="001337D4"/>
    <w:rsid w:val="00147C12"/>
    <w:rsid w:val="001527A1"/>
    <w:rsid w:val="001530DC"/>
    <w:rsid w:val="00154989"/>
    <w:rsid w:val="001553D1"/>
    <w:rsid w:val="00155A9F"/>
    <w:rsid w:val="00156A89"/>
    <w:rsid w:val="00156ADE"/>
    <w:rsid w:val="00160262"/>
    <w:rsid w:val="00161BA8"/>
    <w:rsid w:val="0016780A"/>
    <w:rsid w:val="001713FA"/>
    <w:rsid w:val="00173EBF"/>
    <w:rsid w:val="00175ED3"/>
    <w:rsid w:val="00183FDC"/>
    <w:rsid w:val="001842A2"/>
    <w:rsid w:val="001879A4"/>
    <w:rsid w:val="00187FA8"/>
    <w:rsid w:val="00192F5E"/>
    <w:rsid w:val="00197772"/>
    <w:rsid w:val="001A0DE5"/>
    <w:rsid w:val="001A51C8"/>
    <w:rsid w:val="001B0525"/>
    <w:rsid w:val="001B25EE"/>
    <w:rsid w:val="001B4CA8"/>
    <w:rsid w:val="001B5EA1"/>
    <w:rsid w:val="001C03AB"/>
    <w:rsid w:val="001C4AE2"/>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A3C92"/>
    <w:rsid w:val="002B18AE"/>
    <w:rsid w:val="002B1BE7"/>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4F84"/>
    <w:rsid w:val="003556BD"/>
    <w:rsid w:val="00365147"/>
    <w:rsid w:val="00366B1E"/>
    <w:rsid w:val="00367005"/>
    <w:rsid w:val="0037016E"/>
    <w:rsid w:val="00372908"/>
    <w:rsid w:val="00383020"/>
    <w:rsid w:val="00383852"/>
    <w:rsid w:val="00394D7E"/>
    <w:rsid w:val="003975FD"/>
    <w:rsid w:val="003B057D"/>
    <w:rsid w:val="003B60CC"/>
    <w:rsid w:val="003C1B25"/>
    <w:rsid w:val="003C2443"/>
    <w:rsid w:val="003C5DA3"/>
    <w:rsid w:val="003D4BCD"/>
    <w:rsid w:val="003D6C2B"/>
    <w:rsid w:val="003E01D8"/>
    <w:rsid w:val="003E2100"/>
    <w:rsid w:val="003E2441"/>
    <w:rsid w:val="003E788A"/>
    <w:rsid w:val="003F6F5B"/>
    <w:rsid w:val="0040342D"/>
    <w:rsid w:val="0041192D"/>
    <w:rsid w:val="00413EE1"/>
    <w:rsid w:val="0042128E"/>
    <w:rsid w:val="0042728B"/>
    <w:rsid w:val="00432B60"/>
    <w:rsid w:val="00440698"/>
    <w:rsid w:val="00440D4F"/>
    <w:rsid w:val="004540E2"/>
    <w:rsid w:val="00454454"/>
    <w:rsid w:val="00467924"/>
    <w:rsid w:val="004712A5"/>
    <w:rsid w:val="0047266F"/>
    <w:rsid w:val="004729B0"/>
    <w:rsid w:val="00476D6B"/>
    <w:rsid w:val="00492C16"/>
    <w:rsid w:val="004A0678"/>
    <w:rsid w:val="004A48A3"/>
    <w:rsid w:val="004B0D92"/>
    <w:rsid w:val="004B0EC0"/>
    <w:rsid w:val="004B504A"/>
    <w:rsid w:val="004B66F1"/>
    <w:rsid w:val="004C314A"/>
    <w:rsid w:val="004C3EA0"/>
    <w:rsid w:val="004F7169"/>
    <w:rsid w:val="004F778F"/>
    <w:rsid w:val="00500D66"/>
    <w:rsid w:val="005017CC"/>
    <w:rsid w:val="00514C8E"/>
    <w:rsid w:val="005167C7"/>
    <w:rsid w:val="00531DBF"/>
    <w:rsid w:val="00543C71"/>
    <w:rsid w:val="00545759"/>
    <w:rsid w:val="00545BE0"/>
    <w:rsid w:val="00546930"/>
    <w:rsid w:val="00554C6A"/>
    <w:rsid w:val="00562E85"/>
    <w:rsid w:val="0056332F"/>
    <w:rsid w:val="005719B3"/>
    <w:rsid w:val="0057295E"/>
    <w:rsid w:val="00581C39"/>
    <w:rsid w:val="005903B6"/>
    <w:rsid w:val="00592FFB"/>
    <w:rsid w:val="005A0247"/>
    <w:rsid w:val="005A126E"/>
    <w:rsid w:val="005A452F"/>
    <w:rsid w:val="005B140D"/>
    <w:rsid w:val="005C1FEA"/>
    <w:rsid w:val="005C3495"/>
    <w:rsid w:val="005E086B"/>
    <w:rsid w:val="005E3DFC"/>
    <w:rsid w:val="005E5942"/>
    <w:rsid w:val="005E60AF"/>
    <w:rsid w:val="005F1DEA"/>
    <w:rsid w:val="005F237F"/>
    <w:rsid w:val="00607FC9"/>
    <w:rsid w:val="00621769"/>
    <w:rsid w:val="00622FE1"/>
    <w:rsid w:val="0062521C"/>
    <w:rsid w:val="00630A2B"/>
    <w:rsid w:val="00632DC7"/>
    <w:rsid w:val="006357FB"/>
    <w:rsid w:val="00635D6A"/>
    <w:rsid w:val="006406FC"/>
    <w:rsid w:val="00640E57"/>
    <w:rsid w:val="00646122"/>
    <w:rsid w:val="00653E16"/>
    <w:rsid w:val="00657220"/>
    <w:rsid w:val="00657362"/>
    <w:rsid w:val="0066104B"/>
    <w:rsid w:val="00662362"/>
    <w:rsid w:val="006631E9"/>
    <w:rsid w:val="006655EE"/>
    <w:rsid w:val="00667C10"/>
    <w:rsid w:val="00667EF4"/>
    <w:rsid w:val="00676FCA"/>
    <w:rsid w:val="00677177"/>
    <w:rsid w:val="0068612E"/>
    <w:rsid w:val="00687C92"/>
    <w:rsid w:val="00694B4D"/>
    <w:rsid w:val="0069534E"/>
    <w:rsid w:val="0069669C"/>
    <w:rsid w:val="006A1200"/>
    <w:rsid w:val="006A4F4E"/>
    <w:rsid w:val="006A6C23"/>
    <w:rsid w:val="006B14DB"/>
    <w:rsid w:val="006B21C4"/>
    <w:rsid w:val="006C248B"/>
    <w:rsid w:val="006C4A1A"/>
    <w:rsid w:val="006D0393"/>
    <w:rsid w:val="006D1A83"/>
    <w:rsid w:val="006E1CFE"/>
    <w:rsid w:val="006F10C4"/>
    <w:rsid w:val="006F40E9"/>
    <w:rsid w:val="006F5603"/>
    <w:rsid w:val="006F7B87"/>
    <w:rsid w:val="00701400"/>
    <w:rsid w:val="007037CF"/>
    <w:rsid w:val="007167C0"/>
    <w:rsid w:val="00720481"/>
    <w:rsid w:val="00721BF6"/>
    <w:rsid w:val="00733193"/>
    <w:rsid w:val="007414A2"/>
    <w:rsid w:val="00744DDA"/>
    <w:rsid w:val="00745E03"/>
    <w:rsid w:val="0075732A"/>
    <w:rsid w:val="007600F8"/>
    <w:rsid w:val="00760262"/>
    <w:rsid w:val="0076310C"/>
    <w:rsid w:val="00764405"/>
    <w:rsid w:val="0076744F"/>
    <w:rsid w:val="00767BCE"/>
    <w:rsid w:val="00767EFC"/>
    <w:rsid w:val="007707DE"/>
    <w:rsid w:val="00770B5D"/>
    <w:rsid w:val="007752F1"/>
    <w:rsid w:val="00776768"/>
    <w:rsid w:val="00777D76"/>
    <w:rsid w:val="0078187A"/>
    <w:rsid w:val="00794ED8"/>
    <w:rsid w:val="007A2573"/>
    <w:rsid w:val="007B106C"/>
    <w:rsid w:val="007B1A4E"/>
    <w:rsid w:val="007B3D05"/>
    <w:rsid w:val="007B5503"/>
    <w:rsid w:val="007C179C"/>
    <w:rsid w:val="007C2750"/>
    <w:rsid w:val="007C6BB3"/>
    <w:rsid w:val="007D14B4"/>
    <w:rsid w:val="007D3AD7"/>
    <w:rsid w:val="007E24F6"/>
    <w:rsid w:val="00800F64"/>
    <w:rsid w:val="00801050"/>
    <w:rsid w:val="00802F0B"/>
    <w:rsid w:val="00810A67"/>
    <w:rsid w:val="00833CF7"/>
    <w:rsid w:val="00834CDE"/>
    <w:rsid w:val="00842464"/>
    <w:rsid w:val="00845601"/>
    <w:rsid w:val="00855C5C"/>
    <w:rsid w:val="008600CF"/>
    <w:rsid w:val="00876B02"/>
    <w:rsid w:val="008A3C96"/>
    <w:rsid w:val="008B4019"/>
    <w:rsid w:val="008B65C9"/>
    <w:rsid w:val="008C2D4A"/>
    <w:rsid w:val="008D3900"/>
    <w:rsid w:val="008D6E1D"/>
    <w:rsid w:val="008E2B9E"/>
    <w:rsid w:val="008F39B4"/>
    <w:rsid w:val="008F4162"/>
    <w:rsid w:val="00903E02"/>
    <w:rsid w:val="00913175"/>
    <w:rsid w:val="00916EDB"/>
    <w:rsid w:val="00920861"/>
    <w:rsid w:val="00922B13"/>
    <w:rsid w:val="009242EF"/>
    <w:rsid w:val="00932291"/>
    <w:rsid w:val="00932861"/>
    <w:rsid w:val="0093408E"/>
    <w:rsid w:val="00935016"/>
    <w:rsid w:val="009378A0"/>
    <w:rsid w:val="0094129D"/>
    <w:rsid w:val="00952DDF"/>
    <w:rsid w:val="009610A3"/>
    <w:rsid w:val="00963B6A"/>
    <w:rsid w:val="00970950"/>
    <w:rsid w:val="009812D4"/>
    <w:rsid w:val="00983450"/>
    <w:rsid w:val="00986314"/>
    <w:rsid w:val="009920D8"/>
    <w:rsid w:val="009952F5"/>
    <w:rsid w:val="009B38BE"/>
    <w:rsid w:val="009C3D0F"/>
    <w:rsid w:val="009D6FBD"/>
    <w:rsid w:val="009E1B19"/>
    <w:rsid w:val="009F35E2"/>
    <w:rsid w:val="009F65F9"/>
    <w:rsid w:val="009F68BA"/>
    <w:rsid w:val="00A06277"/>
    <w:rsid w:val="00A079DC"/>
    <w:rsid w:val="00A111C2"/>
    <w:rsid w:val="00A2437E"/>
    <w:rsid w:val="00A338E7"/>
    <w:rsid w:val="00A35CAA"/>
    <w:rsid w:val="00A3688E"/>
    <w:rsid w:val="00A36E7F"/>
    <w:rsid w:val="00A418D5"/>
    <w:rsid w:val="00A41E65"/>
    <w:rsid w:val="00A43E0A"/>
    <w:rsid w:val="00A51657"/>
    <w:rsid w:val="00A530C7"/>
    <w:rsid w:val="00A55F5B"/>
    <w:rsid w:val="00A60185"/>
    <w:rsid w:val="00A661EA"/>
    <w:rsid w:val="00A830E5"/>
    <w:rsid w:val="00A87135"/>
    <w:rsid w:val="00A93280"/>
    <w:rsid w:val="00A951EA"/>
    <w:rsid w:val="00A9751D"/>
    <w:rsid w:val="00AA2548"/>
    <w:rsid w:val="00AA58C4"/>
    <w:rsid w:val="00AA7003"/>
    <w:rsid w:val="00AB11C8"/>
    <w:rsid w:val="00AB1307"/>
    <w:rsid w:val="00AB4AE9"/>
    <w:rsid w:val="00AC08A8"/>
    <w:rsid w:val="00AD56C8"/>
    <w:rsid w:val="00AD58F2"/>
    <w:rsid w:val="00B00C37"/>
    <w:rsid w:val="00B0512A"/>
    <w:rsid w:val="00B0529F"/>
    <w:rsid w:val="00B1418B"/>
    <w:rsid w:val="00B21195"/>
    <w:rsid w:val="00B24B22"/>
    <w:rsid w:val="00B25310"/>
    <w:rsid w:val="00B32F8F"/>
    <w:rsid w:val="00B3492A"/>
    <w:rsid w:val="00B54DE9"/>
    <w:rsid w:val="00B553EC"/>
    <w:rsid w:val="00B55E3F"/>
    <w:rsid w:val="00B63C1E"/>
    <w:rsid w:val="00B83199"/>
    <w:rsid w:val="00B93DD0"/>
    <w:rsid w:val="00B95369"/>
    <w:rsid w:val="00B97732"/>
    <w:rsid w:val="00BA65A8"/>
    <w:rsid w:val="00BA6D19"/>
    <w:rsid w:val="00BA7461"/>
    <w:rsid w:val="00BA7DA9"/>
    <w:rsid w:val="00BC4215"/>
    <w:rsid w:val="00BD1A6F"/>
    <w:rsid w:val="00BD3F48"/>
    <w:rsid w:val="00BE6D3C"/>
    <w:rsid w:val="00BE7852"/>
    <w:rsid w:val="00BF7CEE"/>
    <w:rsid w:val="00C0053E"/>
    <w:rsid w:val="00C03880"/>
    <w:rsid w:val="00C135CF"/>
    <w:rsid w:val="00C24CD8"/>
    <w:rsid w:val="00C2683F"/>
    <w:rsid w:val="00C3184D"/>
    <w:rsid w:val="00C4714E"/>
    <w:rsid w:val="00C51CCA"/>
    <w:rsid w:val="00C5504F"/>
    <w:rsid w:val="00C56F75"/>
    <w:rsid w:val="00C57B55"/>
    <w:rsid w:val="00C63376"/>
    <w:rsid w:val="00C7337A"/>
    <w:rsid w:val="00C74F97"/>
    <w:rsid w:val="00C8276E"/>
    <w:rsid w:val="00C842AC"/>
    <w:rsid w:val="00C96688"/>
    <w:rsid w:val="00CA0723"/>
    <w:rsid w:val="00CB1690"/>
    <w:rsid w:val="00CC4365"/>
    <w:rsid w:val="00CD11B0"/>
    <w:rsid w:val="00CE13E1"/>
    <w:rsid w:val="00CE71C2"/>
    <w:rsid w:val="00CF34E9"/>
    <w:rsid w:val="00CF3D79"/>
    <w:rsid w:val="00CF42D5"/>
    <w:rsid w:val="00CF4EDA"/>
    <w:rsid w:val="00D021CB"/>
    <w:rsid w:val="00D059F7"/>
    <w:rsid w:val="00D10F1A"/>
    <w:rsid w:val="00D116F8"/>
    <w:rsid w:val="00D17596"/>
    <w:rsid w:val="00D21D54"/>
    <w:rsid w:val="00D22640"/>
    <w:rsid w:val="00D26D3A"/>
    <w:rsid w:val="00D37ED0"/>
    <w:rsid w:val="00D45EE3"/>
    <w:rsid w:val="00D50618"/>
    <w:rsid w:val="00D509E9"/>
    <w:rsid w:val="00D50AE3"/>
    <w:rsid w:val="00D53B1C"/>
    <w:rsid w:val="00D663CC"/>
    <w:rsid w:val="00DA0248"/>
    <w:rsid w:val="00DA1B12"/>
    <w:rsid w:val="00DA54C9"/>
    <w:rsid w:val="00DA6739"/>
    <w:rsid w:val="00DA6CAE"/>
    <w:rsid w:val="00DB1A9E"/>
    <w:rsid w:val="00DB31D6"/>
    <w:rsid w:val="00DB4005"/>
    <w:rsid w:val="00DC34EB"/>
    <w:rsid w:val="00DD66F1"/>
    <w:rsid w:val="00DE5867"/>
    <w:rsid w:val="00DF1E5B"/>
    <w:rsid w:val="00DF2275"/>
    <w:rsid w:val="00DF3DFF"/>
    <w:rsid w:val="00DF3F5E"/>
    <w:rsid w:val="00DF42DC"/>
    <w:rsid w:val="00DF5653"/>
    <w:rsid w:val="00E0596E"/>
    <w:rsid w:val="00E06F66"/>
    <w:rsid w:val="00E238BB"/>
    <w:rsid w:val="00E356E5"/>
    <w:rsid w:val="00E36F81"/>
    <w:rsid w:val="00E45765"/>
    <w:rsid w:val="00E5098C"/>
    <w:rsid w:val="00E60213"/>
    <w:rsid w:val="00E661B2"/>
    <w:rsid w:val="00E74D29"/>
    <w:rsid w:val="00E80D3C"/>
    <w:rsid w:val="00E83C74"/>
    <w:rsid w:val="00E83CEE"/>
    <w:rsid w:val="00E91F18"/>
    <w:rsid w:val="00E9226D"/>
    <w:rsid w:val="00E93036"/>
    <w:rsid w:val="00EA416C"/>
    <w:rsid w:val="00EA5941"/>
    <w:rsid w:val="00EB60CE"/>
    <w:rsid w:val="00EB7D53"/>
    <w:rsid w:val="00EE3146"/>
    <w:rsid w:val="00EF0DF3"/>
    <w:rsid w:val="00EF50BB"/>
    <w:rsid w:val="00EF53FF"/>
    <w:rsid w:val="00F00192"/>
    <w:rsid w:val="00F01DF6"/>
    <w:rsid w:val="00F0340D"/>
    <w:rsid w:val="00F059A6"/>
    <w:rsid w:val="00F23756"/>
    <w:rsid w:val="00F2523A"/>
    <w:rsid w:val="00F25FFA"/>
    <w:rsid w:val="00F310D2"/>
    <w:rsid w:val="00F36F3D"/>
    <w:rsid w:val="00F477BD"/>
    <w:rsid w:val="00F53491"/>
    <w:rsid w:val="00F536BD"/>
    <w:rsid w:val="00F60196"/>
    <w:rsid w:val="00F65A1C"/>
    <w:rsid w:val="00F66CC7"/>
    <w:rsid w:val="00F66F50"/>
    <w:rsid w:val="00F81778"/>
    <w:rsid w:val="00F82FF8"/>
    <w:rsid w:val="00F8330D"/>
    <w:rsid w:val="00F84305"/>
    <w:rsid w:val="00F8485C"/>
    <w:rsid w:val="00F87149"/>
    <w:rsid w:val="00F87FFE"/>
    <w:rsid w:val="00F954C9"/>
    <w:rsid w:val="00FA4CF0"/>
    <w:rsid w:val="00FA61AA"/>
    <w:rsid w:val="00FA69A4"/>
    <w:rsid w:val="00FB1279"/>
    <w:rsid w:val="00FB1495"/>
    <w:rsid w:val="00FC775B"/>
    <w:rsid w:val="00FD1694"/>
    <w:rsid w:val="00FD7636"/>
    <w:rsid w:val="00FE3229"/>
    <w:rsid w:val="00FE74C3"/>
    <w:rsid w:val="00FF215C"/>
    <w:rsid w:val="00FF3FDB"/>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semiHidden="0" w:unhideWhenUsed="0"/>
    <w:lsdException w:name="List Bullet" w:qFormat="1"/>
    <w:lsdException w:name="List Number" w:semiHidden="0" w:unhideWhenUsed="0" w:qFormat="1"/>
    <w:lsdException w:name="List 2" w:uiPriority="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1B25EE"/>
    <w:pPr>
      <w:spacing w:after="200" w:line="276" w:lineRule="auto"/>
    </w:pPr>
    <w:rPr>
      <w:sz w:val="22"/>
      <w:szCs w:val="22"/>
      <w:lang w:eastAsia="en-US"/>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basedOn w:val="Normal"/>
    <w:next w:val="Normal"/>
    <w:link w:val="Heading2Char"/>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rsid w:val="00C51CCA"/>
    <w:rPr>
      <w:rFonts w:cs="Arial"/>
      <w:b/>
      <w:caps/>
      <w:sz w:val="22"/>
      <w:szCs w:val="22"/>
      <w:lang w:eastAsia="en-US"/>
    </w:rPr>
  </w:style>
  <w:style w:type="character" w:customStyle="1" w:styleId="Heading2Char">
    <w:name w:val="Heading 2 Char"/>
    <w:basedOn w:val="DefaultParagraphFont"/>
    <w:link w:val="Heading2"/>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List2">
    <w:name w:val="List 2"/>
    <w:basedOn w:val="Normal"/>
    <w:unhideWhenUsed/>
    <w:rsid w:val="001B25EE"/>
    <w:pPr>
      <w:ind w:left="566" w:hanging="283"/>
      <w:contextualSpacing/>
    </w:pPr>
  </w:style>
  <w:style w:type="character" w:styleId="Hyperlink">
    <w:name w:val="Hyperlink"/>
    <w:uiPriority w:val="99"/>
    <w:rsid w:val="001B25EE"/>
    <w:rPr>
      <w:color w:val="0000FF"/>
      <w:u w:val="single"/>
    </w:rPr>
  </w:style>
  <w:style w:type="paragraph" w:styleId="CommentText">
    <w:name w:val="annotation text"/>
    <w:basedOn w:val="Normal"/>
    <w:link w:val="CommentTextChar"/>
    <w:unhideWhenUsed/>
    <w:rsid w:val="001B25EE"/>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rsid w:val="001B25EE"/>
    <w:rPr>
      <w:rFonts w:asciiTheme="minorHAnsi" w:eastAsiaTheme="minorEastAsia" w:hAnsiTheme="minorHAnsi" w:cstheme="minorBidi"/>
      <w:lang w:eastAsia="en-US"/>
    </w:rPr>
  </w:style>
  <w:style w:type="paragraph" w:styleId="TOCHeading">
    <w:name w:val="TOC Heading"/>
    <w:basedOn w:val="Heading1"/>
    <w:next w:val="Normal"/>
    <w:uiPriority w:val="39"/>
    <w:unhideWhenUsed/>
    <w:qFormat/>
    <w:rsid w:val="001B25EE"/>
    <w:pPr>
      <w:keepNext w:val="0"/>
      <w:spacing w:before="480" w:after="0"/>
      <w:contextualSpacing/>
      <w:outlineLvl w:val="9"/>
    </w:pPr>
    <w:rPr>
      <w:rFonts w:asciiTheme="majorHAnsi" w:eastAsiaTheme="majorEastAsia" w:hAnsiTheme="majorHAnsi" w:cstheme="majorBidi"/>
      <w:bCs/>
      <w:caps w:val="0"/>
      <w:sz w:val="28"/>
      <w:szCs w:val="28"/>
      <w:lang w:bidi="en-US"/>
    </w:rPr>
  </w:style>
  <w:style w:type="paragraph" w:styleId="TOC1">
    <w:name w:val="toc 1"/>
    <w:basedOn w:val="Normal"/>
    <w:next w:val="Normal"/>
    <w:autoRedefine/>
    <w:uiPriority w:val="39"/>
    <w:unhideWhenUsed/>
    <w:rsid w:val="001B25EE"/>
    <w:pPr>
      <w:spacing w:after="100"/>
    </w:pPr>
    <w:rPr>
      <w:rFonts w:asciiTheme="minorHAnsi" w:eastAsiaTheme="minorEastAsia" w:hAnsiTheme="minorHAnsi" w:cstheme="minorBidi"/>
    </w:rPr>
  </w:style>
  <w:style w:type="paragraph" w:styleId="TOC2">
    <w:name w:val="toc 2"/>
    <w:basedOn w:val="Normal"/>
    <w:next w:val="Normal"/>
    <w:autoRedefine/>
    <w:uiPriority w:val="39"/>
    <w:unhideWhenUsed/>
    <w:rsid w:val="001B25EE"/>
    <w:pPr>
      <w:spacing w:after="100"/>
      <w:ind w:left="220"/>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DF42DC"/>
    <w:rPr>
      <w:sz w:val="16"/>
      <w:szCs w:val="16"/>
    </w:rPr>
  </w:style>
  <w:style w:type="paragraph" w:styleId="CommentSubject">
    <w:name w:val="annotation subject"/>
    <w:basedOn w:val="CommentText"/>
    <w:next w:val="CommentText"/>
    <w:link w:val="CommentSubjectChar"/>
    <w:uiPriority w:val="99"/>
    <w:semiHidden/>
    <w:unhideWhenUsed/>
    <w:rsid w:val="00DF42DC"/>
    <w:pPr>
      <w:spacing w:line="240" w:lineRule="auto"/>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DF42DC"/>
    <w:rPr>
      <w:rFonts w:asciiTheme="minorHAnsi" w:eastAsiaTheme="minorEastAsia" w:hAnsiTheme="minorHAnsi" w:cstheme="minorBidi"/>
      <w:b/>
      <w:bCs/>
      <w:lang w:eastAsia="en-US"/>
    </w:rPr>
  </w:style>
  <w:style w:type="paragraph" w:styleId="Revision">
    <w:name w:val="Revision"/>
    <w:hidden/>
    <w:uiPriority w:val="99"/>
    <w:semiHidden/>
    <w:rsid w:val="00156ADE"/>
    <w:rPr>
      <w:sz w:val="22"/>
      <w:szCs w:val="22"/>
      <w:lang w:eastAsia="en-US"/>
    </w:rPr>
  </w:style>
  <w:style w:type="character" w:styleId="FollowedHyperlink">
    <w:name w:val="FollowedHyperlink"/>
    <w:basedOn w:val="DefaultParagraphFont"/>
    <w:uiPriority w:val="99"/>
    <w:semiHidden/>
    <w:unhideWhenUsed/>
    <w:rsid w:val="00A516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026546">
      <w:bodyDiv w:val="1"/>
      <w:marLeft w:val="0"/>
      <w:marRight w:val="0"/>
      <w:marTop w:val="0"/>
      <w:marBottom w:val="0"/>
      <w:divBdr>
        <w:top w:val="none" w:sz="0" w:space="0" w:color="auto"/>
        <w:left w:val="none" w:sz="0" w:space="0" w:color="auto"/>
        <w:bottom w:val="none" w:sz="0" w:space="0" w:color="auto"/>
        <w:right w:val="none" w:sz="0" w:space="0" w:color="auto"/>
      </w:divBdr>
    </w:div>
    <w:div w:id="663170807">
      <w:bodyDiv w:val="1"/>
      <w:marLeft w:val="0"/>
      <w:marRight w:val="0"/>
      <w:marTop w:val="0"/>
      <w:marBottom w:val="0"/>
      <w:divBdr>
        <w:top w:val="none" w:sz="0" w:space="0" w:color="auto"/>
        <w:left w:val="none" w:sz="0" w:space="0" w:color="auto"/>
        <w:bottom w:val="none" w:sz="0" w:space="0" w:color="auto"/>
        <w:right w:val="none" w:sz="0" w:space="0" w:color="auto"/>
      </w:divBdr>
    </w:div>
    <w:div w:id="119107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16C00322" TargetMode="External"/><Relationship Id="rId13" Type="http://schemas.openxmlformats.org/officeDocument/2006/relationships/hyperlink" Target="https://www.legislation.gov.au/Details/C2016C00227"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legislation.gov.au/Details/C2016C00322" TargetMode="External"/><Relationship Id="rId17" Type="http://schemas.openxmlformats.org/officeDocument/2006/relationships/hyperlink" Target="mailto:MarineReserves@environment.gov.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itles@nopta.gov.a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gov.au/resource/renewal-or-extension-prior-usage-rights-mining-and-oil-and-gas-activit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arineReserves@environment.gov.au" TargetMode="External"/><Relationship Id="rId23" Type="http://schemas.openxmlformats.org/officeDocument/2006/relationships/footer" Target="footer3.xml"/><Relationship Id="rId10" Type="http://schemas.openxmlformats.org/officeDocument/2006/relationships/hyperlink" Target="http://www.nopta.gov.au/forms/forms.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legislation.gov.au/Details/C2016C00227" TargetMode="External"/><Relationship Id="rId14" Type="http://schemas.openxmlformats.org/officeDocument/2006/relationships/hyperlink" Target="https://www.legislation.gov.au/Details/F2015C00673"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Prior Usage Rights - Offshore Petroleum Guideline Prior Usage - final</vt:lpstr>
    </vt:vector>
  </TitlesOfParts>
  <LinksUpToDate>false</LinksUpToDate>
  <CharactersWithSpaces>10557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usage rights offshore petrolum guidline</dc:title>
  <dc:subject>Prior usage rights offshore petroluem guideline</dc:subject>
  <dc:creator/>
  <cp:lastModifiedBy/>
  <cp:revision>1</cp:revision>
  <dcterms:created xsi:type="dcterms:W3CDTF">2016-05-05T03:44:00Z</dcterms:created>
  <dcterms:modified xsi:type="dcterms:W3CDTF">2016-05-05T07:15:00Z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